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ED" w:rsidRPr="000B05F0" w:rsidRDefault="00320AED" w:rsidP="00013720">
      <w:pPr>
        <w:jc w:val="both"/>
        <w:rPr>
          <w:rFonts w:ascii="Times New Roman" w:hAnsi="Times New Roman" w:cs="Times New Roman"/>
          <w:lang w:val="en-US"/>
        </w:rPr>
      </w:pPr>
    </w:p>
    <w:p w:rsidR="00320AED" w:rsidRPr="00C27469" w:rsidRDefault="00320AED" w:rsidP="00013720">
      <w:pPr>
        <w:jc w:val="both"/>
        <w:rPr>
          <w:rFonts w:ascii="Times New Roman" w:hAnsi="Times New Roman" w:cs="Times New Roman"/>
          <w:b/>
          <w:sz w:val="26"/>
          <w:szCs w:val="26"/>
          <w:lang w:val="en-US"/>
        </w:rPr>
      </w:pPr>
      <w:r w:rsidRPr="00C27469">
        <w:rPr>
          <w:rFonts w:ascii="Times New Roman" w:hAnsi="Times New Roman" w:cs="Times New Roman"/>
          <w:b/>
          <w:sz w:val="26"/>
          <w:szCs w:val="26"/>
          <w:lang w:val="en-US"/>
        </w:rPr>
        <w:t>PARTICIPATION RULES FOR THE ERASMUS+ PROGRAMME AT THE MEDICAL UNIVERSITY OF LODZ IN</w:t>
      </w:r>
    </w:p>
    <w:p w:rsidR="00320AED" w:rsidRPr="00C27469" w:rsidRDefault="00442B9C" w:rsidP="00013720">
      <w:pPr>
        <w:jc w:val="both"/>
        <w:rPr>
          <w:rFonts w:ascii="Times New Roman" w:hAnsi="Times New Roman" w:cs="Times New Roman"/>
          <w:b/>
          <w:sz w:val="26"/>
          <w:szCs w:val="26"/>
          <w:lang w:val="en-US"/>
        </w:rPr>
      </w:pPr>
      <w:r>
        <w:rPr>
          <w:rFonts w:ascii="Times New Roman" w:hAnsi="Times New Roman" w:cs="Times New Roman"/>
          <w:b/>
          <w:sz w:val="26"/>
          <w:szCs w:val="26"/>
          <w:lang w:val="en-US"/>
        </w:rPr>
        <w:t>THE ACADEMIC YEAR 2016/2017</w:t>
      </w:r>
      <w:r w:rsidR="00320AED" w:rsidRPr="00C27469">
        <w:rPr>
          <w:rFonts w:ascii="Times New Roman" w:hAnsi="Times New Roman" w:cs="Times New Roman"/>
          <w:b/>
          <w:sz w:val="26"/>
          <w:szCs w:val="26"/>
          <w:lang w:val="en-US"/>
        </w:rPr>
        <w:t>. STUDYING ABROAD.</w:t>
      </w:r>
    </w:p>
    <w:p w:rsidR="00D52AF0" w:rsidRPr="00C27469" w:rsidRDefault="007C35FC" w:rsidP="00013720">
      <w:pPr>
        <w:jc w:val="both"/>
        <w:rPr>
          <w:rFonts w:ascii="Times New Roman" w:hAnsi="Times New Roman" w:cs="Times New Roman"/>
          <w:b/>
          <w:sz w:val="26"/>
          <w:szCs w:val="26"/>
          <w:lang w:val="en-US"/>
        </w:rPr>
      </w:pPr>
      <w:r>
        <w:rPr>
          <w:rFonts w:ascii="Times New Roman" w:hAnsi="Times New Roman" w:cs="Times New Roman"/>
          <w:b/>
          <w:sz w:val="26"/>
          <w:szCs w:val="26"/>
          <w:lang w:val="en-US"/>
        </w:rPr>
        <w:t>I. Recruitment to</w:t>
      </w:r>
      <w:r w:rsidR="009C2872">
        <w:rPr>
          <w:rFonts w:ascii="Times New Roman" w:hAnsi="Times New Roman" w:cs="Times New Roman"/>
          <w:b/>
          <w:sz w:val="26"/>
          <w:szCs w:val="26"/>
          <w:lang w:val="en-US"/>
        </w:rPr>
        <w:t xml:space="preserve"> student mobility with</w:t>
      </w:r>
      <w:r w:rsidR="00D52AF0" w:rsidRPr="00C27469">
        <w:rPr>
          <w:rFonts w:ascii="Times New Roman" w:hAnsi="Times New Roman" w:cs="Times New Roman"/>
          <w:b/>
          <w:sz w:val="26"/>
          <w:szCs w:val="26"/>
          <w:lang w:val="en-US"/>
        </w:rPr>
        <w:t>in Erasmus + programme.</w:t>
      </w:r>
    </w:p>
    <w:p w:rsidR="00320AED" w:rsidRPr="00442B9C" w:rsidRDefault="00320AED"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 Students can apply to realize a part of their studies within the Erasmus+ Programme if:</w:t>
      </w:r>
    </w:p>
    <w:p w:rsidR="00320AED" w:rsidRPr="00442B9C" w:rsidRDefault="007C35FC" w:rsidP="00013720">
      <w:pPr>
        <w:pStyle w:val="Akapitzlist"/>
        <w:numPr>
          <w:ilvl w:val="0"/>
          <w:numId w:val="1"/>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they are </w:t>
      </w:r>
      <w:r w:rsidR="00320AED" w:rsidRPr="00442B9C">
        <w:rPr>
          <w:rFonts w:ascii="Times New Roman" w:hAnsi="Times New Roman" w:cs="Times New Roman"/>
          <w:sz w:val="24"/>
          <w:szCs w:val="24"/>
          <w:lang w:val="en-US"/>
        </w:rPr>
        <w:t>registered students of the Medical University of Lodz (during the qualification and their entire stay</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abroad)</w:t>
      </w:r>
    </w:p>
    <w:p w:rsidR="00320AED" w:rsidRPr="00442B9C" w:rsidRDefault="007C35FC" w:rsidP="007C35FC">
      <w:pPr>
        <w:pStyle w:val="Akapitzlist"/>
        <w:numPr>
          <w:ilvl w:val="0"/>
          <w:numId w:val="1"/>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they are not</w:t>
      </w:r>
      <w:r w:rsidR="00320AED"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 xml:space="preserve">and they won’t be </w:t>
      </w:r>
      <w:r w:rsidR="00320AED" w:rsidRPr="00442B9C">
        <w:rPr>
          <w:rFonts w:ascii="Times New Roman" w:hAnsi="Times New Roman" w:cs="Times New Roman"/>
          <w:sz w:val="24"/>
          <w:szCs w:val="24"/>
          <w:lang w:val="en-US"/>
        </w:rPr>
        <w:t>on a dean’s leave during the qualification and their entire stay at the partner</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university</w:t>
      </w:r>
    </w:p>
    <w:p w:rsidR="00320AED" w:rsidRPr="00442B9C" w:rsidRDefault="007C35FC" w:rsidP="00013720">
      <w:pPr>
        <w:pStyle w:val="Akapitzlist"/>
        <w:numPr>
          <w:ilvl w:val="0"/>
          <w:numId w:val="1"/>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t</w:t>
      </w:r>
      <w:r w:rsidR="00320AED" w:rsidRPr="00442B9C">
        <w:rPr>
          <w:rFonts w:ascii="Times New Roman" w:hAnsi="Times New Roman" w:cs="Times New Roman"/>
          <w:sz w:val="24"/>
          <w:szCs w:val="24"/>
          <w:lang w:val="en-US"/>
        </w:rPr>
        <w:t>hey have completed:</w:t>
      </w:r>
    </w:p>
    <w:p w:rsidR="00320AED" w:rsidRPr="00442B9C" w:rsidRDefault="007C35FC" w:rsidP="00013720">
      <w:pPr>
        <w:pStyle w:val="Akapitzlist"/>
        <w:numPr>
          <w:ilvl w:val="0"/>
          <w:numId w:val="2"/>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s</w:t>
      </w:r>
      <w:r w:rsidR="00320AED" w:rsidRPr="00442B9C">
        <w:rPr>
          <w:rFonts w:ascii="Times New Roman" w:hAnsi="Times New Roman" w:cs="Times New Roman"/>
          <w:sz w:val="24"/>
          <w:szCs w:val="24"/>
          <w:lang w:val="en-US"/>
        </w:rPr>
        <w:t>tudents of uniform Master’s degree studies: their first year of studies and they</w:t>
      </w:r>
      <w:r w:rsidR="000B05F0"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completed</w:t>
      </w:r>
      <w:r w:rsidR="00320AED" w:rsidRPr="00442B9C">
        <w:rPr>
          <w:rFonts w:ascii="Times New Roman" w:hAnsi="Times New Roman" w:cs="Times New Roman"/>
          <w:sz w:val="24"/>
          <w:szCs w:val="24"/>
          <w:lang w:val="en-US"/>
        </w:rPr>
        <w:t xml:space="preserve"> the academic year preceding their trip abroad (the trip can be </w:t>
      </w:r>
      <w:r w:rsidR="00D52AF0" w:rsidRPr="00442B9C">
        <w:rPr>
          <w:rFonts w:ascii="Times New Roman" w:hAnsi="Times New Roman" w:cs="Times New Roman"/>
          <w:sz w:val="24"/>
          <w:szCs w:val="24"/>
          <w:lang w:val="en-US"/>
        </w:rPr>
        <w:t>realized</w:t>
      </w:r>
      <w:r w:rsidR="00320AED" w:rsidRPr="00442B9C">
        <w:rPr>
          <w:rFonts w:ascii="Times New Roman" w:hAnsi="Times New Roman" w:cs="Times New Roman"/>
          <w:sz w:val="24"/>
          <w:szCs w:val="24"/>
          <w:lang w:val="en-US"/>
        </w:rPr>
        <w:t xml:space="preserve"> after the</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second academic year)</w:t>
      </w:r>
    </w:p>
    <w:p w:rsidR="00320AED" w:rsidRPr="00442B9C" w:rsidRDefault="007C35FC" w:rsidP="00013720">
      <w:pPr>
        <w:pStyle w:val="Akapitzlist"/>
        <w:numPr>
          <w:ilvl w:val="0"/>
          <w:numId w:val="2"/>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s</w:t>
      </w:r>
      <w:r w:rsidR="00320AED" w:rsidRPr="00442B9C">
        <w:rPr>
          <w:rFonts w:ascii="Times New Roman" w:hAnsi="Times New Roman" w:cs="Times New Roman"/>
          <w:sz w:val="24"/>
          <w:szCs w:val="24"/>
          <w:lang w:val="en-US"/>
        </w:rPr>
        <w:t xml:space="preserve">tudents of </w:t>
      </w:r>
      <w:r w:rsidRPr="00442B9C">
        <w:rPr>
          <w:rFonts w:ascii="Times New Roman" w:hAnsi="Times New Roman" w:cs="Times New Roman"/>
          <w:sz w:val="24"/>
          <w:szCs w:val="24"/>
          <w:lang w:val="en-US"/>
        </w:rPr>
        <w:t xml:space="preserve">the </w:t>
      </w:r>
      <w:r w:rsidR="00320AED" w:rsidRPr="00442B9C">
        <w:rPr>
          <w:rFonts w:ascii="Times New Roman" w:hAnsi="Times New Roman" w:cs="Times New Roman"/>
          <w:sz w:val="24"/>
          <w:szCs w:val="24"/>
          <w:lang w:val="en-US"/>
        </w:rPr>
        <w:t>first degree studies (first cycle students): their first year of studies and</w:t>
      </w:r>
      <w:r w:rsidR="000B05F0"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they completed</w:t>
      </w:r>
      <w:r w:rsidR="00320AED" w:rsidRPr="00442B9C">
        <w:rPr>
          <w:rFonts w:ascii="Times New Roman" w:hAnsi="Times New Roman" w:cs="Times New Roman"/>
          <w:sz w:val="24"/>
          <w:szCs w:val="24"/>
          <w:lang w:val="en-US"/>
        </w:rPr>
        <w:t xml:space="preserve"> the academic year preceding their trip abroad (the trip can be </w:t>
      </w:r>
      <w:r w:rsidR="000B05F0" w:rsidRPr="00442B9C">
        <w:rPr>
          <w:rFonts w:ascii="Times New Roman" w:hAnsi="Times New Roman" w:cs="Times New Roman"/>
          <w:sz w:val="24"/>
          <w:szCs w:val="24"/>
          <w:lang w:val="en-US"/>
        </w:rPr>
        <w:t xml:space="preserve">realized </w:t>
      </w:r>
      <w:r w:rsidR="00320AED" w:rsidRPr="00442B9C">
        <w:rPr>
          <w:rFonts w:ascii="Times New Roman" w:hAnsi="Times New Roman" w:cs="Times New Roman"/>
          <w:sz w:val="24"/>
          <w:szCs w:val="24"/>
          <w:lang w:val="en-US"/>
        </w:rPr>
        <w:t>after the second academic year)</w:t>
      </w:r>
    </w:p>
    <w:p w:rsidR="00320AED" w:rsidRPr="00442B9C" w:rsidRDefault="007C35FC" w:rsidP="00013720">
      <w:pPr>
        <w:pStyle w:val="Akapitzlist"/>
        <w:numPr>
          <w:ilvl w:val="0"/>
          <w:numId w:val="3"/>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s</w:t>
      </w:r>
      <w:r w:rsidR="00320AED" w:rsidRPr="00442B9C">
        <w:rPr>
          <w:rFonts w:ascii="Times New Roman" w:hAnsi="Times New Roman" w:cs="Times New Roman"/>
          <w:sz w:val="24"/>
          <w:szCs w:val="24"/>
          <w:lang w:val="en-US"/>
        </w:rPr>
        <w:t xml:space="preserve">tudents of </w:t>
      </w:r>
      <w:r w:rsidRPr="00442B9C">
        <w:rPr>
          <w:rFonts w:ascii="Times New Roman" w:hAnsi="Times New Roman" w:cs="Times New Roman"/>
          <w:sz w:val="24"/>
          <w:szCs w:val="24"/>
          <w:lang w:val="en-US"/>
        </w:rPr>
        <w:t xml:space="preserve">the </w:t>
      </w:r>
      <w:r w:rsidR="00320AED" w:rsidRPr="00442B9C">
        <w:rPr>
          <w:rFonts w:ascii="Times New Roman" w:hAnsi="Times New Roman" w:cs="Times New Roman"/>
          <w:sz w:val="24"/>
          <w:szCs w:val="24"/>
          <w:lang w:val="en-US"/>
        </w:rPr>
        <w:t>second degree studies (second cycle students) and doctoral students can apply for the</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 xml:space="preserve">international study mobility on their first year; students of the last year of </w:t>
      </w:r>
      <w:r w:rsidRPr="00442B9C">
        <w:rPr>
          <w:rFonts w:ascii="Times New Roman" w:hAnsi="Times New Roman" w:cs="Times New Roman"/>
          <w:sz w:val="24"/>
          <w:szCs w:val="24"/>
          <w:lang w:val="en-US"/>
        </w:rPr>
        <w:t xml:space="preserve">the </w:t>
      </w:r>
      <w:r w:rsidR="00320AED" w:rsidRPr="00442B9C">
        <w:rPr>
          <w:rFonts w:ascii="Times New Roman" w:hAnsi="Times New Roman" w:cs="Times New Roman"/>
          <w:sz w:val="24"/>
          <w:szCs w:val="24"/>
          <w:lang w:val="en-US"/>
        </w:rPr>
        <w:t>first cycle, second cycle,</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uniform and doctoral studies who apply for mobility during the last semester of their studies can only</w:t>
      </w:r>
      <w:r w:rsidR="000B05F0"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apply for it with the permission</w:t>
      </w:r>
      <w:r w:rsidR="00320AED" w:rsidRPr="00442B9C">
        <w:rPr>
          <w:rFonts w:ascii="Times New Roman" w:hAnsi="Times New Roman" w:cs="Times New Roman"/>
          <w:sz w:val="24"/>
          <w:szCs w:val="24"/>
          <w:lang w:val="en-US"/>
        </w:rPr>
        <w:t xml:space="preserve"> of their thesis supervisor (promoter)</w:t>
      </w:r>
    </w:p>
    <w:p w:rsidR="00320AED" w:rsidRPr="00442B9C" w:rsidRDefault="009C2872" w:rsidP="00013720">
      <w:pPr>
        <w:pStyle w:val="Akapitzlist"/>
        <w:numPr>
          <w:ilvl w:val="0"/>
          <w:numId w:val="3"/>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t</w:t>
      </w:r>
      <w:r w:rsidR="00320AED" w:rsidRPr="00442B9C">
        <w:rPr>
          <w:rFonts w:ascii="Times New Roman" w:hAnsi="Times New Roman" w:cs="Times New Roman"/>
          <w:sz w:val="24"/>
          <w:szCs w:val="24"/>
          <w:lang w:val="en-US"/>
        </w:rPr>
        <w:t xml:space="preserve">hey have </w:t>
      </w:r>
      <w:r w:rsidR="007C35FC" w:rsidRPr="00442B9C">
        <w:rPr>
          <w:rFonts w:ascii="Times New Roman" w:hAnsi="Times New Roman" w:cs="Times New Roman"/>
          <w:sz w:val="24"/>
          <w:szCs w:val="24"/>
          <w:lang w:val="en-US"/>
        </w:rPr>
        <w:t xml:space="preserve">the </w:t>
      </w:r>
      <w:r w:rsidR="00320AED" w:rsidRPr="00442B9C">
        <w:rPr>
          <w:rFonts w:ascii="Times New Roman" w:hAnsi="Times New Roman" w:cs="Times New Roman"/>
          <w:sz w:val="24"/>
          <w:szCs w:val="24"/>
          <w:lang w:val="en-US"/>
        </w:rPr>
        <w:t xml:space="preserve">citizenship of a country </w:t>
      </w:r>
      <w:r w:rsidR="00D52AF0" w:rsidRPr="00442B9C">
        <w:rPr>
          <w:rFonts w:ascii="Times New Roman" w:hAnsi="Times New Roman" w:cs="Times New Roman"/>
          <w:sz w:val="24"/>
          <w:szCs w:val="24"/>
          <w:lang w:val="en-US"/>
        </w:rPr>
        <w:t>authorized</w:t>
      </w:r>
      <w:r w:rsidRPr="00442B9C">
        <w:rPr>
          <w:rFonts w:ascii="Times New Roman" w:hAnsi="Times New Roman" w:cs="Times New Roman"/>
          <w:sz w:val="24"/>
          <w:szCs w:val="24"/>
          <w:lang w:val="en-US"/>
        </w:rPr>
        <w:t xml:space="preserve"> to participate i</w:t>
      </w:r>
      <w:r w:rsidR="00320AED" w:rsidRPr="00442B9C">
        <w:rPr>
          <w:rFonts w:ascii="Times New Roman" w:hAnsi="Times New Roman" w:cs="Times New Roman"/>
          <w:sz w:val="24"/>
          <w:szCs w:val="24"/>
          <w:lang w:val="en-US"/>
        </w:rPr>
        <w:t>n the Erasmus+ Programme, or they have</w:t>
      </w:r>
      <w:r w:rsidR="000B05F0" w:rsidRPr="00442B9C">
        <w:rPr>
          <w:rFonts w:ascii="Times New Roman" w:hAnsi="Times New Roman" w:cs="Times New Roman"/>
          <w:sz w:val="24"/>
          <w:szCs w:val="24"/>
          <w:lang w:val="en-US"/>
        </w:rPr>
        <w:t xml:space="preserve"> </w:t>
      </w:r>
      <w:r w:rsidR="007C35FC" w:rsidRPr="00442B9C">
        <w:rPr>
          <w:rFonts w:ascii="Times New Roman" w:hAnsi="Times New Roman" w:cs="Times New Roman"/>
          <w:sz w:val="24"/>
          <w:szCs w:val="24"/>
          <w:lang w:val="en-US"/>
        </w:rPr>
        <w:t>the right for</w:t>
      </w:r>
      <w:r w:rsidR="00320AED" w:rsidRPr="00442B9C">
        <w:rPr>
          <w:rFonts w:ascii="Times New Roman" w:hAnsi="Times New Roman" w:cs="Times New Roman"/>
          <w:sz w:val="24"/>
          <w:szCs w:val="24"/>
          <w:lang w:val="en-US"/>
        </w:rPr>
        <w:t xml:space="preserve"> permanent residence or refugee status</w:t>
      </w:r>
    </w:p>
    <w:p w:rsidR="00320AED" w:rsidRPr="00442B9C" w:rsidRDefault="009C2872" w:rsidP="00013720">
      <w:pPr>
        <w:pStyle w:val="Akapitzlist"/>
        <w:numPr>
          <w:ilvl w:val="0"/>
          <w:numId w:val="3"/>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s</w:t>
      </w:r>
      <w:r w:rsidR="00320AED" w:rsidRPr="00442B9C">
        <w:rPr>
          <w:rFonts w:ascii="Times New Roman" w:hAnsi="Times New Roman" w:cs="Times New Roman"/>
          <w:sz w:val="24"/>
          <w:szCs w:val="24"/>
          <w:lang w:val="en-US"/>
        </w:rPr>
        <w:t xml:space="preserve">tudents during their final year of </w:t>
      </w:r>
      <w:r w:rsidR="007C35FC" w:rsidRPr="00442B9C">
        <w:rPr>
          <w:rFonts w:ascii="Times New Roman" w:hAnsi="Times New Roman" w:cs="Times New Roman"/>
          <w:sz w:val="24"/>
          <w:szCs w:val="24"/>
          <w:lang w:val="en-US"/>
        </w:rPr>
        <w:t>the first cycle studies</w:t>
      </w:r>
      <w:r w:rsidR="00320AED" w:rsidRPr="00442B9C">
        <w:rPr>
          <w:rFonts w:ascii="Times New Roman" w:hAnsi="Times New Roman" w:cs="Times New Roman"/>
          <w:sz w:val="24"/>
          <w:szCs w:val="24"/>
          <w:lang w:val="en-US"/>
        </w:rPr>
        <w:t xml:space="preserve"> can only appl</w:t>
      </w:r>
      <w:r w:rsidR="007C35FC" w:rsidRPr="00442B9C">
        <w:rPr>
          <w:rFonts w:ascii="Times New Roman" w:hAnsi="Times New Roman" w:cs="Times New Roman"/>
          <w:sz w:val="24"/>
          <w:szCs w:val="24"/>
          <w:lang w:val="en-US"/>
        </w:rPr>
        <w:t xml:space="preserve">y for the programme if they </w:t>
      </w:r>
      <w:r w:rsidR="00320AED" w:rsidRPr="00442B9C">
        <w:rPr>
          <w:rFonts w:ascii="Times New Roman" w:hAnsi="Times New Roman" w:cs="Times New Roman"/>
          <w:sz w:val="24"/>
          <w:szCs w:val="24"/>
          <w:lang w:val="en-US"/>
        </w:rPr>
        <w:t xml:space="preserve">continue their studies in the second cycle programme at the Medical University of Lodz (before </w:t>
      </w:r>
      <w:r w:rsidR="007C35FC" w:rsidRPr="00442B9C">
        <w:rPr>
          <w:rFonts w:ascii="Times New Roman" w:hAnsi="Times New Roman" w:cs="Times New Roman"/>
          <w:sz w:val="24"/>
          <w:szCs w:val="24"/>
          <w:lang w:val="en-US"/>
        </w:rPr>
        <w:t xml:space="preserve">the </w:t>
      </w:r>
      <w:r w:rsidR="00320AED" w:rsidRPr="00442B9C">
        <w:rPr>
          <w:rFonts w:ascii="Times New Roman" w:hAnsi="Times New Roman" w:cs="Times New Roman"/>
          <w:sz w:val="24"/>
          <w:szCs w:val="24"/>
          <w:lang w:val="en-US"/>
        </w:rPr>
        <w:t>departure</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the students are required to present a declaration from</w:t>
      </w:r>
      <w:r w:rsidR="007C35FC" w:rsidRPr="00442B9C">
        <w:rPr>
          <w:rFonts w:ascii="Times New Roman" w:hAnsi="Times New Roman" w:cs="Times New Roman"/>
          <w:sz w:val="24"/>
          <w:szCs w:val="24"/>
          <w:lang w:val="en-US"/>
        </w:rPr>
        <w:t xml:space="preserve"> their respective dean’s office</w:t>
      </w:r>
      <w:r w:rsidR="00320AED" w:rsidRPr="00442B9C">
        <w:rPr>
          <w:rFonts w:ascii="Times New Roman" w:hAnsi="Times New Roman" w:cs="Times New Roman"/>
          <w:sz w:val="24"/>
          <w:szCs w:val="24"/>
          <w:lang w:val="en-US"/>
        </w:rPr>
        <w:t xml:space="preserve"> stating they will</w:t>
      </w:r>
      <w:r w:rsidR="000B05F0" w:rsidRPr="00442B9C">
        <w:rPr>
          <w:rFonts w:ascii="Times New Roman" w:hAnsi="Times New Roman" w:cs="Times New Roman"/>
          <w:sz w:val="24"/>
          <w:szCs w:val="24"/>
          <w:lang w:val="en-US"/>
        </w:rPr>
        <w:t xml:space="preserve"> </w:t>
      </w:r>
      <w:r w:rsidR="00320AED" w:rsidRPr="00442B9C">
        <w:rPr>
          <w:rFonts w:ascii="Times New Roman" w:hAnsi="Times New Roman" w:cs="Times New Roman"/>
          <w:sz w:val="24"/>
          <w:szCs w:val="24"/>
          <w:lang w:val="en-US"/>
        </w:rPr>
        <w:t>continue the second cycle studies, at the Foreign Affairs Office)</w:t>
      </w:r>
    </w:p>
    <w:p w:rsidR="00320AED" w:rsidRPr="00442B9C" w:rsidRDefault="00320AED"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2. Studying abroad should not collide with completing studies within the date predicted in the studies plan.</w:t>
      </w:r>
    </w:p>
    <w:p w:rsidR="00320AED" w:rsidRPr="00442B9C" w:rsidRDefault="00320AED"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3. In spite of the number of areas of </w:t>
      </w:r>
      <w:r w:rsidR="007C35FC" w:rsidRPr="00442B9C">
        <w:rPr>
          <w:rFonts w:ascii="Times New Roman" w:hAnsi="Times New Roman" w:cs="Times New Roman"/>
          <w:sz w:val="24"/>
          <w:szCs w:val="24"/>
          <w:lang w:val="en-US"/>
        </w:rPr>
        <w:t>study and home universities, a</w:t>
      </w:r>
      <w:r w:rsidRPr="00442B9C">
        <w:rPr>
          <w:rFonts w:ascii="Times New Roman" w:hAnsi="Times New Roman" w:cs="Times New Roman"/>
          <w:sz w:val="24"/>
          <w:szCs w:val="24"/>
          <w:lang w:val="en-US"/>
        </w:rPr>
        <w:t xml:space="preserve"> student</w:t>
      </w:r>
      <w:r w:rsidR="00FC5FCB" w:rsidRPr="00442B9C">
        <w:rPr>
          <w:rFonts w:ascii="Times New Roman" w:hAnsi="Times New Roman" w:cs="Times New Roman"/>
          <w:sz w:val="24"/>
          <w:szCs w:val="24"/>
          <w:lang w:val="en-US"/>
        </w:rPr>
        <w:t xml:space="preserve"> during his</w:t>
      </w:r>
      <w:r w:rsidR="007C35FC" w:rsidRPr="00442B9C">
        <w:rPr>
          <w:rFonts w:ascii="Times New Roman" w:hAnsi="Times New Roman" w:cs="Times New Roman"/>
          <w:sz w:val="24"/>
          <w:szCs w:val="24"/>
          <w:lang w:val="en-US"/>
        </w:rPr>
        <w:t>/her</w:t>
      </w:r>
      <w:r w:rsidR="00FC5FCB" w:rsidRPr="00442B9C">
        <w:rPr>
          <w:rFonts w:ascii="Times New Roman" w:hAnsi="Times New Roman" w:cs="Times New Roman"/>
          <w:sz w:val="24"/>
          <w:szCs w:val="24"/>
          <w:lang w:val="en-US"/>
        </w:rPr>
        <w:t xml:space="preserve"> studies can realize </w:t>
      </w:r>
      <w:r w:rsidRPr="00442B9C">
        <w:rPr>
          <w:rFonts w:ascii="Times New Roman" w:hAnsi="Times New Roman" w:cs="Times New Roman"/>
          <w:sz w:val="24"/>
          <w:szCs w:val="24"/>
          <w:lang w:val="en-US"/>
        </w:rPr>
        <w:t xml:space="preserve">several student mobility </w:t>
      </w:r>
      <w:r w:rsidR="00FC5FCB" w:rsidRPr="00442B9C">
        <w:rPr>
          <w:rFonts w:ascii="Times New Roman" w:hAnsi="Times New Roman" w:cs="Times New Roman"/>
          <w:sz w:val="24"/>
          <w:szCs w:val="24"/>
          <w:lang w:val="en-US"/>
        </w:rPr>
        <w:t>studies and mobility practices</w:t>
      </w:r>
      <w:r w:rsidRPr="00442B9C">
        <w:rPr>
          <w:rFonts w:ascii="Times New Roman" w:hAnsi="Times New Roman" w:cs="Times New Roman"/>
          <w:sz w:val="24"/>
          <w:szCs w:val="24"/>
          <w:lang w:val="en-US"/>
        </w:rPr>
        <w:t xml:space="preserve"> for a pe</w:t>
      </w:r>
      <w:r w:rsidR="007C35FC" w:rsidRPr="00442B9C">
        <w:rPr>
          <w:rFonts w:ascii="Times New Roman" w:hAnsi="Times New Roman" w:cs="Times New Roman"/>
          <w:sz w:val="24"/>
          <w:szCs w:val="24"/>
          <w:lang w:val="en-US"/>
        </w:rPr>
        <w:t>riod not exceeding 12 months in</w:t>
      </w:r>
      <w:r w:rsidR="00FC5FCB"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each study cycle (first cycle, second cycle, doctoral studies) e.g. 2 x 6 m</w:t>
      </w:r>
      <w:r w:rsidR="00FC5FCB" w:rsidRPr="00442B9C">
        <w:rPr>
          <w:rFonts w:ascii="Times New Roman" w:hAnsi="Times New Roman" w:cs="Times New Roman"/>
          <w:sz w:val="24"/>
          <w:szCs w:val="24"/>
          <w:lang w:val="en-US"/>
        </w:rPr>
        <w:t xml:space="preserve">onths or 3 x 4 months including </w:t>
      </w:r>
      <w:r w:rsidRPr="00442B9C">
        <w:rPr>
          <w:rFonts w:ascii="Times New Roman" w:hAnsi="Times New Roman" w:cs="Times New Roman"/>
          <w:sz w:val="24"/>
          <w:szCs w:val="24"/>
          <w:lang w:val="en-US"/>
        </w:rPr>
        <w:t>mobilities that have already been realized within the LLP Erasmus Programm</w:t>
      </w:r>
      <w:r w:rsidR="00FC5FCB" w:rsidRPr="00442B9C">
        <w:rPr>
          <w:rFonts w:ascii="Times New Roman" w:hAnsi="Times New Roman" w:cs="Times New Roman"/>
          <w:sz w:val="24"/>
          <w:szCs w:val="24"/>
          <w:lang w:val="en-US"/>
        </w:rPr>
        <w:t xml:space="preserve">e (mobility with the right to a </w:t>
      </w:r>
      <w:r w:rsidRPr="00442B9C">
        <w:rPr>
          <w:rFonts w:ascii="Times New Roman" w:hAnsi="Times New Roman" w:cs="Times New Roman"/>
          <w:sz w:val="24"/>
          <w:szCs w:val="24"/>
          <w:lang w:val="en-US"/>
        </w:rPr>
        <w:t>mobility grant and without it). Students of uniform Master’s degree studies</w:t>
      </w:r>
      <w:r w:rsidR="00FC5FCB" w:rsidRPr="00442B9C">
        <w:rPr>
          <w:rFonts w:ascii="Times New Roman" w:hAnsi="Times New Roman" w:cs="Times New Roman"/>
          <w:sz w:val="24"/>
          <w:szCs w:val="24"/>
          <w:lang w:val="en-US"/>
        </w:rPr>
        <w:t xml:space="preserve"> and of </w:t>
      </w:r>
      <w:r w:rsidR="007C35FC" w:rsidRPr="00442B9C">
        <w:rPr>
          <w:rFonts w:ascii="Times New Roman" w:hAnsi="Times New Roman" w:cs="Times New Roman"/>
          <w:sz w:val="24"/>
          <w:szCs w:val="24"/>
          <w:lang w:val="en-US"/>
        </w:rPr>
        <w:t>such areas as</w:t>
      </w:r>
      <w:r w:rsidR="00FC5FCB" w:rsidRPr="00442B9C">
        <w:rPr>
          <w:rFonts w:ascii="Times New Roman" w:hAnsi="Times New Roman" w:cs="Times New Roman"/>
          <w:sz w:val="24"/>
          <w:szCs w:val="24"/>
          <w:lang w:val="en-US"/>
        </w:rPr>
        <w:t xml:space="preserve"> medicine can </w:t>
      </w:r>
      <w:r w:rsidR="007C35FC" w:rsidRPr="00442B9C">
        <w:rPr>
          <w:rFonts w:ascii="Times New Roman" w:hAnsi="Times New Roman" w:cs="Times New Roman"/>
          <w:sz w:val="24"/>
          <w:szCs w:val="24"/>
          <w:lang w:val="en-US"/>
        </w:rPr>
        <w:t xml:space="preserve">leave for a period that does not </w:t>
      </w:r>
      <w:r w:rsidRPr="00442B9C">
        <w:rPr>
          <w:rFonts w:ascii="Times New Roman" w:hAnsi="Times New Roman" w:cs="Times New Roman"/>
          <w:sz w:val="24"/>
          <w:szCs w:val="24"/>
          <w:lang w:val="en-US"/>
        </w:rPr>
        <w:t>exceed 24 months.</w:t>
      </w:r>
    </w:p>
    <w:p w:rsidR="00320AED" w:rsidRPr="00442B9C" w:rsidRDefault="00FC5FCB"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4</w:t>
      </w:r>
      <w:r w:rsidR="00320AED" w:rsidRPr="00442B9C">
        <w:rPr>
          <w:rFonts w:ascii="Times New Roman" w:hAnsi="Times New Roman" w:cs="Times New Roman"/>
          <w:sz w:val="24"/>
          <w:szCs w:val="24"/>
          <w:lang w:val="en-US"/>
        </w:rPr>
        <w:t>. The main criteria in the qualification process for study mobility within the Erasmus+ Programme are:</w:t>
      </w:r>
    </w:p>
    <w:p w:rsidR="00FC5FCB" w:rsidRPr="00442B9C" w:rsidRDefault="00320AED" w:rsidP="00013720">
      <w:pPr>
        <w:pStyle w:val="Akapitzlist"/>
        <w:numPr>
          <w:ilvl w:val="0"/>
          <w:numId w:val="4"/>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lastRenderedPageBreak/>
        <w:t xml:space="preserve">Mean grade from the last completed year of studies </w:t>
      </w:r>
      <w:r w:rsidR="00FC5FCB" w:rsidRPr="00442B9C">
        <w:rPr>
          <w:rFonts w:ascii="Times New Roman" w:hAnsi="Times New Roman" w:cs="Times New Roman"/>
          <w:sz w:val="24"/>
          <w:szCs w:val="24"/>
          <w:lang w:val="en-US"/>
        </w:rPr>
        <w:t xml:space="preserve">preceding the </w:t>
      </w:r>
      <w:r w:rsidR="00442B9C" w:rsidRPr="00442B9C">
        <w:rPr>
          <w:rFonts w:ascii="Times New Roman" w:hAnsi="Times New Roman" w:cs="Times New Roman"/>
          <w:sz w:val="24"/>
          <w:szCs w:val="24"/>
          <w:lang w:val="en-US"/>
        </w:rPr>
        <w:t>academic year 2015/2016</w:t>
      </w:r>
      <w:r w:rsidRPr="00442B9C">
        <w:rPr>
          <w:rFonts w:ascii="Times New Roman" w:hAnsi="Times New Roman" w:cs="Times New Roman"/>
          <w:sz w:val="24"/>
          <w:szCs w:val="24"/>
          <w:lang w:val="en-US"/>
        </w:rPr>
        <w:t>,</w:t>
      </w:r>
      <w:r w:rsidR="00FC5FCB"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when</w:t>
      </w:r>
      <w:r w:rsidR="00FC5FCB" w:rsidRPr="00442B9C">
        <w:rPr>
          <w:rFonts w:ascii="Times New Roman" w:hAnsi="Times New Roman" w:cs="Times New Roman"/>
          <w:sz w:val="24"/>
          <w:szCs w:val="24"/>
          <w:lang w:val="en-US"/>
        </w:rPr>
        <w:t xml:space="preserve"> the recruitment is held, none l</w:t>
      </w:r>
      <w:r w:rsidRPr="00442B9C">
        <w:rPr>
          <w:rFonts w:ascii="Times New Roman" w:hAnsi="Times New Roman" w:cs="Times New Roman"/>
          <w:sz w:val="24"/>
          <w:szCs w:val="24"/>
          <w:lang w:val="en-US"/>
        </w:rPr>
        <w:t>ower than 3,25 (max. 5 points).</w:t>
      </w:r>
    </w:p>
    <w:p w:rsidR="00320AED" w:rsidRPr="00442B9C" w:rsidRDefault="00320AED" w:rsidP="00013720">
      <w:pPr>
        <w:pStyle w:val="Akapitzlist"/>
        <w:ind w:left="780"/>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The </w:t>
      </w:r>
      <w:r w:rsidR="00FC5FCB" w:rsidRPr="00442B9C">
        <w:rPr>
          <w:rFonts w:ascii="Times New Roman" w:hAnsi="Times New Roman" w:cs="Times New Roman"/>
          <w:sz w:val="24"/>
          <w:szCs w:val="24"/>
          <w:lang w:val="en-US"/>
        </w:rPr>
        <w:t xml:space="preserve">mean grade should be calculated by the </w:t>
      </w:r>
      <w:r w:rsidRPr="00442B9C">
        <w:rPr>
          <w:rFonts w:ascii="Times New Roman" w:hAnsi="Times New Roman" w:cs="Times New Roman"/>
          <w:sz w:val="24"/>
          <w:szCs w:val="24"/>
          <w:lang w:val="en-US"/>
        </w:rPr>
        <w:t>r</w:t>
      </w:r>
      <w:r w:rsidR="00FC5FCB" w:rsidRPr="00442B9C">
        <w:rPr>
          <w:rFonts w:ascii="Times New Roman" w:hAnsi="Times New Roman" w:cs="Times New Roman"/>
          <w:sz w:val="24"/>
          <w:szCs w:val="24"/>
          <w:lang w:val="en-US"/>
        </w:rPr>
        <w:t>ules</w:t>
      </w:r>
      <w:r w:rsidRPr="00442B9C">
        <w:rPr>
          <w:rFonts w:ascii="Times New Roman" w:hAnsi="Times New Roman" w:cs="Times New Roman"/>
          <w:sz w:val="24"/>
          <w:szCs w:val="24"/>
          <w:lang w:val="en-US"/>
        </w:rPr>
        <w:t xml:space="preserve"> presented in § 26 item 3 of the valid Rules and Regulations</w:t>
      </w:r>
      <w:r w:rsidR="00FC5FCB" w:rsidRPr="00442B9C">
        <w:rPr>
          <w:rFonts w:ascii="Times New Roman" w:hAnsi="Times New Roman" w:cs="Times New Roman"/>
          <w:sz w:val="24"/>
          <w:szCs w:val="24"/>
          <w:lang w:val="en-US"/>
        </w:rPr>
        <w:t xml:space="preserve"> </w:t>
      </w:r>
      <w:r w:rsidR="007C35FC" w:rsidRPr="00442B9C">
        <w:rPr>
          <w:rFonts w:ascii="Times New Roman" w:hAnsi="Times New Roman" w:cs="Times New Roman"/>
          <w:sz w:val="24"/>
          <w:szCs w:val="24"/>
          <w:lang w:val="en-US"/>
        </w:rPr>
        <w:t>of</w:t>
      </w:r>
      <w:r w:rsidR="00736AAF" w:rsidRPr="00442B9C">
        <w:rPr>
          <w:rFonts w:ascii="Times New Roman" w:hAnsi="Times New Roman" w:cs="Times New Roman"/>
          <w:sz w:val="24"/>
          <w:szCs w:val="24"/>
          <w:lang w:val="en-US"/>
        </w:rPr>
        <w:t xml:space="preserve"> The Medical University of</w:t>
      </w:r>
      <w:r w:rsidRPr="00442B9C">
        <w:rPr>
          <w:rFonts w:ascii="Times New Roman" w:hAnsi="Times New Roman" w:cs="Times New Roman"/>
          <w:sz w:val="24"/>
          <w:szCs w:val="24"/>
          <w:lang w:val="en-US"/>
        </w:rPr>
        <w:t xml:space="preserve"> Lodz</w:t>
      </w:r>
      <w:r w:rsidR="00736AAF" w:rsidRPr="00442B9C">
        <w:rPr>
          <w:rFonts w:ascii="Times New Roman" w:hAnsi="Times New Roman" w:cs="Times New Roman"/>
          <w:sz w:val="24"/>
          <w:szCs w:val="24"/>
          <w:lang w:val="en-US"/>
        </w:rPr>
        <w:t xml:space="preserve"> : ”The mean of all the term</w:t>
      </w:r>
      <w:r w:rsidRPr="00442B9C">
        <w:rPr>
          <w:rFonts w:ascii="Times New Roman" w:hAnsi="Times New Roman" w:cs="Times New Roman"/>
          <w:sz w:val="24"/>
          <w:szCs w:val="24"/>
          <w:lang w:val="en-US"/>
        </w:rPr>
        <w:t xml:space="preserve"> grades is calculated as an arithmetic</w:t>
      </w:r>
      <w:r w:rsidR="00FC5FCB"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mean of the grades (including failed grades) obtained as exams and credits for the courses indicated by</w:t>
      </w:r>
      <w:r w:rsidR="00FC5FCB"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the Dean taken during the semester.” and in § 26 item 4 „The mean grade is calculated with: 1) The</w:t>
      </w:r>
      <w:r w:rsidR="00FC5FCB"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grade of exam before the Examination Board, ignoring the failed grade of the questioned exam</w:t>
      </w:r>
      <w:r w:rsidR="004B3FD8" w:rsidRPr="00442B9C">
        <w:rPr>
          <w:rFonts w:ascii="Times New Roman" w:hAnsi="Times New Roman" w:cs="Times New Roman"/>
          <w:sz w:val="24"/>
          <w:szCs w:val="24"/>
          <w:lang w:val="en-US"/>
        </w:rPr>
        <w:t>(…)</w:t>
      </w:r>
      <w:r w:rsidRPr="00442B9C">
        <w:rPr>
          <w:rFonts w:ascii="Times New Roman" w:hAnsi="Times New Roman" w:cs="Times New Roman"/>
          <w:sz w:val="24"/>
          <w:szCs w:val="24"/>
          <w:lang w:val="en-US"/>
        </w:rPr>
        <w:t>; 2) The second positive grade obtained by the student, in</w:t>
      </w:r>
      <w:r w:rsidR="00FC5FCB"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the case of repeating the passe</w:t>
      </w:r>
      <w:r w:rsidR="00736AAF" w:rsidRPr="00442B9C">
        <w:rPr>
          <w:rFonts w:ascii="Times New Roman" w:hAnsi="Times New Roman" w:cs="Times New Roman"/>
          <w:sz w:val="24"/>
          <w:szCs w:val="24"/>
          <w:lang w:val="en-US"/>
        </w:rPr>
        <w:t>d exam”. The rules for students</w:t>
      </w:r>
      <w:r w:rsidRPr="00442B9C">
        <w:rPr>
          <w:rFonts w:ascii="Times New Roman" w:hAnsi="Times New Roman" w:cs="Times New Roman"/>
          <w:sz w:val="24"/>
          <w:szCs w:val="24"/>
          <w:lang w:val="en-US"/>
        </w:rPr>
        <w:t xml:space="preserve"> who started their studies before</w:t>
      </w:r>
      <w:r w:rsidR="004B3FD8"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01.10.2010 are in § 16 item 2 in association with item 1 and § 36 item 2 of Rules and Regula</w:t>
      </w:r>
      <w:r w:rsidR="00736AAF" w:rsidRPr="00442B9C">
        <w:rPr>
          <w:rFonts w:ascii="Times New Roman" w:hAnsi="Times New Roman" w:cs="Times New Roman"/>
          <w:sz w:val="24"/>
          <w:szCs w:val="24"/>
          <w:lang w:val="en-US"/>
        </w:rPr>
        <w:t>tions o</w:t>
      </w:r>
      <w:r w:rsidRPr="00442B9C">
        <w:rPr>
          <w:rFonts w:ascii="Times New Roman" w:hAnsi="Times New Roman" w:cs="Times New Roman"/>
          <w:sz w:val="24"/>
          <w:szCs w:val="24"/>
          <w:lang w:val="en-US"/>
        </w:rPr>
        <w:t>f The</w:t>
      </w:r>
      <w:r w:rsidR="004B3FD8" w:rsidRPr="00442B9C">
        <w:rPr>
          <w:rFonts w:ascii="Times New Roman" w:hAnsi="Times New Roman" w:cs="Times New Roman"/>
          <w:sz w:val="24"/>
          <w:szCs w:val="24"/>
          <w:lang w:val="en-US"/>
        </w:rPr>
        <w:t xml:space="preserve"> </w:t>
      </w:r>
      <w:r w:rsidR="00736AAF" w:rsidRPr="00442B9C">
        <w:rPr>
          <w:rFonts w:ascii="Times New Roman" w:hAnsi="Times New Roman" w:cs="Times New Roman"/>
          <w:sz w:val="24"/>
          <w:szCs w:val="24"/>
          <w:lang w:val="en-US"/>
        </w:rPr>
        <w:t>Medical University o</w:t>
      </w:r>
      <w:r w:rsidRPr="00442B9C">
        <w:rPr>
          <w:rFonts w:ascii="Times New Roman" w:hAnsi="Times New Roman" w:cs="Times New Roman"/>
          <w:sz w:val="24"/>
          <w:szCs w:val="24"/>
          <w:lang w:val="en-US"/>
        </w:rPr>
        <w:t>f Lodz established by the decision of the Senate of the Medical University of Lodz</w:t>
      </w:r>
      <w:r w:rsidR="004B3FD8"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no 36/2003 on 27.03.2007: the mean of the year’s grades is an arithmetic mean of grades obtained at</w:t>
      </w:r>
      <w:r w:rsidR="004B3FD8"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exams (includin</w:t>
      </w:r>
      <w:r w:rsidR="004B3FD8" w:rsidRPr="00442B9C">
        <w:rPr>
          <w:rFonts w:ascii="Times New Roman" w:hAnsi="Times New Roman" w:cs="Times New Roman"/>
          <w:sz w:val="24"/>
          <w:szCs w:val="24"/>
          <w:lang w:val="en-US"/>
        </w:rPr>
        <w:t>g failed grades);</w:t>
      </w:r>
    </w:p>
    <w:p w:rsidR="004B3FD8" w:rsidRPr="00442B9C" w:rsidRDefault="004B3FD8" w:rsidP="00013720">
      <w:pPr>
        <w:pStyle w:val="Akapitzlist"/>
        <w:ind w:left="780"/>
        <w:jc w:val="both"/>
        <w:rPr>
          <w:rFonts w:ascii="Times New Roman" w:hAnsi="Times New Roman" w:cs="Times New Roman"/>
          <w:sz w:val="24"/>
          <w:szCs w:val="24"/>
          <w:lang w:val="en-US"/>
        </w:rPr>
      </w:pPr>
    </w:p>
    <w:p w:rsidR="004B3FD8" w:rsidRPr="00442B9C" w:rsidRDefault="004B3FD8" w:rsidP="00013720">
      <w:pPr>
        <w:pStyle w:val="Akapitzlist"/>
        <w:ind w:left="780"/>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When i</w:t>
      </w:r>
      <w:r w:rsidR="00160207" w:rsidRPr="00442B9C">
        <w:rPr>
          <w:rFonts w:ascii="Times New Roman" w:hAnsi="Times New Roman" w:cs="Times New Roman"/>
          <w:sz w:val="24"/>
          <w:szCs w:val="24"/>
          <w:lang w:val="en-US"/>
        </w:rPr>
        <w:t>t is</w:t>
      </w:r>
      <w:r w:rsidRPr="00442B9C">
        <w:rPr>
          <w:rFonts w:ascii="Times New Roman" w:hAnsi="Times New Roman" w:cs="Times New Roman"/>
          <w:sz w:val="24"/>
          <w:szCs w:val="24"/>
          <w:lang w:val="en-US"/>
        </w:rPr>
        <w:t xml:space="preserve"> impossible to calcula</w:t>
      </w:r>
      <w:r w:rsidR="009B2BAC" w:rsidRPr="00442B9C">
        <w:rPr>
          <w:rFonts w:ascii="Times New Roman" w:hAnsi="Times New Roman" w:cs="Times New Roman"/>
          <w:sz w:val="24"/>
          <w:szCs w:val="24"/>
          <w:lang w:val="en-US"/>
        </w:rPr>
        <w:t>te a mea</w:t>
      </w:r>
      <w:r w:rsidR="00442B9C" w:rsidRPr="00442B9C">
        <w:rPr>
          <w:rFonts w:ascii="Times New Roman" w:hAnsi="Times New Roman" w:cs="Times New Roman"/>
          <w:sz w:val="24"/>
          <w:szCs w:val="24"/>
          <w:lang w:val="en-US"/>
        </w:rPr>
        <w:t>n grade for 2014/2015</w:t>
      </w:r>
      <w:r w:rsidR="00C27469" w:rsidRPr="00442B9C">
        <w:rPr>
          <w:rFonts w:ascii="Times New Roman" w:hAnsi="Times New Roman" w:cs="Times New Roman"/>
          <w:sz w:val="24"/>
          <w:szCs w:val="24"/>
          <w:lang w:val="en-US"/>
        </w:rPr>
        <w:t xml:space="preserve"> </w:t>
      </w:r>
      <w:r w:rsidR="00160207" w:rsidRPr="00442B9C">
        <w:rPr>
          <w:rFonts w:ascii="Times New Roman" w:hAnsi="Times New Roman" w:cs="Times New Roman"/>
          <w:sz w:val="24"/>
          <w:szCs w:val="24"/>
          <w:lang w:val="en-US"/>
        </w:rPr>
        <w:t xml:space="preserve">the </w:t>
      </w:r>
      <w:r w:rsidR="00C27469" w:rsidRPr="00442B9C">
        <w:rPr>
          <w:rFonts w:ascii="Times New Roman" w:hAnsi="Times New Roman" w:cs="Times New Roman"/>
          <w:sz w:val="24"/>
          <w:szCs w:val="24"/>
          <w:lang w:val="en-US"/>
        </w:rPr>
        <w:t>Admissions Committee</w:t>
      </w:r>
      <w:r w:rsidRPr="00442B9C">
        <w:rPr>
          <w:rFonts w:ascii="Times New Roman" w:hAnsi="Times New Roman" w:cs="Times New Roman"/>
          <w:sz w:val="24"/>
          <w:szCs w:val="24"/>
          <w:lang w:val="en-US"/>
        </w:rPr>
        <w:t xml:space="preserve"> will accept </w:t>
      </w:r>
      <w:r w:rsidR="00160207" w:rsidRPr="00442B9C">
        <w:rPr>
          <w:rFonts w:ascii="Times New Roman" w:hAnsi="Times New Roman" w:cs="Times New Roman"/>
          <w:sz w:val="24"/>
          <w:szCs w:val="24"/>
          <w:lang w:val="en-US"/>
        </w:rPr>
        <w:t xml:space="preserve">a </w:t>
      </w:r>
      <w:r w:rsidR="00442B9C" w:rsidRPr="00442B9C">
        <w:rPr>
          <w:rFonts w:ascii="Times New Roman" w:hAnsi="Times New Roman" w:cs="Times New Roman"/>
          <w:sz w:val="24"/>
          <w:szCs w:val="24"/>
          <w:lang w:val="en-US"/>
        </w:rPr>
        <w:t>mean grade from 2013/2014</w:t>
      </w:r>
      <w:r w:rsidRPr="00442B9C">
        <w:rPr>
          <w:rFonts w:ascii="Times New Roman" w:hAnsi="Times New Roman" w:cs="Times New Roman"/>
          <w:sz w:val="24"/>
          <w:szCs w:val="24"/>
          <w:lang w:val="en-US"/>
        </w:rPr>
        <w:t xml:space="preserve"> during the application process. </w:t>
      </w:r>
    </w:p>
    <w:p w:rsidR="004B3FD8" w:rsidRPr="00442B9C" w:rsidRDefault="004B3FD8" w:rsidP="00013720">
      <w:pPr>
        <w:pStyle w:val="Akapitzlist"/>
        <w:ind w:left="780"/>
        <w:jc w:val="both"/>
        <w:rPr>
          <w:rFonts w:ascii="Times New Roman" w:hAnsi="Times New Roman" w:cs="Times New Roman"/>
          <w:sz w:val="24"/>
          <w:szCs w:val="24"/>
          <w:lang w:val="en-US"/>
        </w:rPr>
      </w:pPr>
    </w:p>
    <w:p w:rsidR="004B3FD8" w:rsidRPr="00442B9C" w:rsidRDefault="00160207" w:rsidP="00013720">
      <w:pPr>
        <w:pStyle w:val="Akapitzlist"/>
        <w:ind w:left="780"/>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For 3</w:t>
      </w:r>
      <w:r w:rsidRPr="00442B9C">
        <w:rPr>
          <w:rFonts w:ascii="Times New Roman" w:hAnsi="Times New Roman" w:cs="Times New Roman"/>
          <w:sz w:val="24"/>
          <w:szCs w:val="24"/>
          <w:vertAlign w:val="superscript"/>
          <w:lang w:val="en-US"/>
        </w:rPr>
        <w:t>rd</w:t>
      </w:r>
      <w:r w:rsidRPr="00442B9C">
        <w:rPr>
          <w:rFonts w:ascii="Times New Roman" w:hAnsi="Times New Roman" w:cs="Times New Roman"/>
          <w:sz w:val="24"/>
          <w:szCs w:val="24"/>
          <w:lang w:val="en-US"/>
        </w:rPr>
        <w:t xml:space="preserve"> </w:t>
      </w:r>
      <w:r w:rsidR="004B3FD8" w:rsidRPr="00442B9C">
        <w:rPr>
          <w:rFonts w:ascii="Times New Roman" w:hAnsi="Times New Roman" w:cs="Times New Roman"/>
          <w:sz w:val="24"/>
          <w:szCs w:val="24"/>
          <w:lang w:val="en-US"/>
        </w:rPr>
        <w:t xml:space="preserve">cycle </w:t>
      </w:r>
      <w:r w:rsidRPr="00442B9C">
        <w:rPr>
          <w:rFonts w:ascii="Times New Roman" w:hAnsi="Times New Roman" w:cs="Times New Roman"/>
          <w:sz w:val="24"/>
          <w:szCs w:val="24"/>
          <w:lang w:val="en-US"/>
        </w:rPr>
        <w:t xml:space="preserve">students the </w:t>
      </w:r>
      <w:r w:rsidR="00C27469" w:rsidRPr="00442B9C">
        <w:rPr>
          <w:rFonts w:ascii="Times New Roman" w:hAnsi="Times New Roman" w:cs="Times New Roman"/>
          <w:sz w:val="24"/>
          <w:szCs w:val="24"/>
          <w:lang w:val="en-US"/>
        </w:rPr>
        <w:t>Admissions Committee</w:t>
      </w:r>
      <w:r w:rsidR="009B2BAC" w:rsidRPr="00442B9C">
        <w:rPr>
          <w:rFonts w:ascii="Times New Roman" w:hAnsi="Times New Roman" w:cs="Times New Roman"/>
          <w:sz w:val="24"/>
          <w:szCs w:val="24"/>
          <w:lang w:val="en-US"/>
        </w:rPr>
        <w:t xml:space="preserve"> will accept </w:t>
      </w:r>
      <w:r w:rsidR="004B3FD8" w:rsidRPr="00442B9C">
        <w:rPr>
          <w:rFonts w:ascii="Times New Roman" w:hAnsi="Times New Roman" w:cs="Times New Roman"/>
          <w:sz w:val="24"/>
          <w:szCs w:val="24"/>
          <w:lang w:val="en-US"/>
        </w:rPr>
        <w:t>diploma</w:t>
      </w:r>
      <w:r w:rsidR="009B2BAC" w:rsidRPr="00442B9C">
        <w:rPr>
          <w:rFonts w:ascii="Times New Roman" w:hAnsi="Times New Roman" w:cs="Times New Roman"/>
          <w:sz w:val="24"/>
          <w:szCs w:val="24"/>
          <w:lang w:val="en-US"/>
        </w:rPr>
        <w:t xml:space="preserve"> evaluation</w:t>
      </w:r>
      <w:r w:rsidR="00820EF2" w:rsidRPr="00442B9C">
        <w:rPr>
          <w:rFonts w:ascii="Times New Roman" w:hAnsi="Times New Roman" w:cs="Times New Roman"/>
          <w:sz w:val="24"/>
          <w:szCs w:val="24"/>
          <w:lang w:val="en-US"/>
        </w:rPr>
        <w:t xml:space="preserve"> from </w:t>
      </w:r>
      <w:r w:rsidR="009B2BAC" w:rsidRPr="00442B9C">
        <w:rPr>
          <w:rFonts w:ascii="Times New Roman" w:hAnsi="Times New Roman" w:cs="Times New Roman"/>
          <w:sz w:val="24"/>
          <w:szCs w:val="24"/>
          <w:lang w:val="en-US"/>
        </w:rPr>
        <w:t xml:space="preserve"> long-cyc</w:t>
      </w:r>
      <w:r w:rsidRPr="00442B9C">
        <w:rPr>
          <w:rFonts w:ascii="Times New Roman" w:hAnsi="Times New Roman" w:cs="Times New Roman"/>
          <w:sz w:val="24"/>
          <w:szCs w:val="24"/>
          <w:lang w:val="en-US"/>
        </w:rPr>
        <w:t>le Master’s degree program or 2</w:t>
      </w:r>
      <w:r w:rsidRPr="00442B9C">
        <w:rPr>
          <w:rFonts w:ascii="Times New Roman" w:hAnsi="Times New Roman" w:cs="Times New Roman"/>
          <w:sz w:val="24"/>
          <w:szCs w:val="24"/>
          <w:vertAlign w:val="superscript"/>
          <w:lang w:val="en-US"/>
        </w:rPr>
        <w:t>nd</w:t>
      </w:r>
      <w:r w:rsidRPr="00442B9C">
        <w:rPr>
          <w:rFonts w:ascii="Times New Roman" w:hAnsi="Times New Roman" w:cs="Times New Roman"/>
          <w:sz w:val="24"/>
          <w:szCs w:val="24"/>
          <w:lang w:val="en-US"/>
        </w:rPr>
        <w:t xml:space="preserve"> </w:t>
      </w:r>
      <w:r w:rsidR="009B2BAC" w:rsidRPr="00442B9C">
        <w:rPr>
          <w:rFonts w:ascii="Times New Roman" w:hAnsi="Times New Roman" w:cs="Times New Roman"/>
          <w:sz w:val="24"/>
          <w:szCs w:val="24"/>
          <w:lang w:val="en-US"/>
        </w:rPr>
        <w:t xml:space="preserve"> cycle program. </w:t>
      </w:r>
    </w:p>
    <w:p w:rsidR="00442B9C" w:rsidRPr="00442B9C" w:rsidRDefault="00442B9C" w:rsidP="00013720">
      <w:pPr>
        <w:pStyle w:val="Akapitzlist"/>
        <w:ind w:left="780"/>
        <w:jc w:val="both"/>
        <w:rPr>
          <w:rFonts w:ascii="Times New Roman" w:hAnsi="Times New Roman" w:cs="Times New Roman"/>
          <w:sz w:val="24"/>
          <w:szCs w:val="24"/>
          <w:lang w:val="en-US"/>
        </w:rPr>
      </w:pPr>
    </w:p>
    <w:p w:rsidR="00442B9C" w:rsidRPr="00442B9C" w:rsidRDefault="00320AED" w:rsidP="00442B9C">
      <w:pPr>
        <w:pStyle w:val="Akapitzlist"/>
        <w:ind w:left="780"/>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The grade form the foreign language exam/certificate is multiplied by 1,5 (max. 8,25 points). </w:t>
      </w:r>
      <w:r w:rsidR="00160207" w:rsidRPr="00442B9C">
        <w:rPr>
          <w:rFonts w:ascii="Times New Roman" w:hAnsi="Times New Roman" w:cs="Times New Roman"/>
          <w:sz w:val="24"/>
          <w:szCs w:val="24"/>
          <w:lang w:val="en-US"/>
        </w:rPr>
        <w:t>T</w:t>
      </w:r>
      <w:r w:rsidRPr="00442B9C">
        <w:rPr>
          <w:rFonts w:ascii="Times New Roman" w:hAnsi="Times New Roman" w:cs="Times New Roman"/>
          <w:sz w:val="24"/>
          <w:szCs w:val="24"/>
          <w:lang w:val="en-US"/>
        </w:rPr>
        <w:t>he student</w:t>
      </w:r>
      <w:r w:rsidR="00160207" w:rsidRPr="00442B9C">
        <w:rPr>
          <w:rFonts w:ascii="Times New Roman" w:hAnsi="Times New Roman" w:cs="Times New Roman"/>
          <w:sz w:val="24"/>
          <w:szCs w:val="24"/>
          <w:lang w:val="en-US"/>
        </w:rPr>
        <w:t xml:space="preserve"> is required to sit</w:t>
      </w:r>
      <w:r w:rsidRPr="00442B9C">
        <w:rPr>
          <w:rFonts w:ascii="Times New Roman" w:hAnsi="Times New Roman" w:cs="Times New Roman"/>
          <w:sz w:val="24"/>
          <w:szCs w:val="24"/>
          <w:lang w:val="en-US"/>
        </w:rPr>
        <w:t xml:space="preserve"> the exam/certificate </w:t>
      </w:r>
      <w:r w:rsidR="00160207" w:rsidRPr="00442B9C">
        <w:rPr>
          <w:rFonts w:ascii="Times New Roman" w:hAnsi="Times New Roman" w:cs="Times New Roman"/>
          <w:sz w:val="24"/>
          <w:szCs w:val="24"/>
          <w:lang w:val="en-US"/>
        </w:rPr>
        <w:t xml:space="preserve">of the language of the country </w:t>
      </w:r>
      <w:r w:rsidRPr="00442B9C">
        <w:rPr>
          <w:rFonts w:ascii="Times New Roman" w:hAnsi="Times New Roman" w:cs="Times New Roman"/>
          <w:sz w:val="24"/>
          <w:szCs w:val="24"/>
          <w:lang w:val="en-US"/>
        </w:rPr>
        <w:t>where he</w:t>
      </w:r>
      <w:r w:rsidR="009B2BAC"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will be studying or a different language specified by the host university.</w:t>
      </w:r>
      <w:r w:rsidR="00442B9C" w:rsidRPr="00442B9C">
        <w:rPr>
          <w:rFonts w:ascii="Times New Roman" w:hAnsi="Times New Roman" w:cs="Times New Roman"/>
          <w:sz w:val="24"/>
          <w:szCs w:val="24"/>
          <w:lang w:val="en-US"/>
        </w:rPr>
        <w:t xml:space="preserve"> </w:t>
      </w:r>
      <w:r w:rsidR="00442B9C" w:rsidRPr="00442B9C">
        <w:rPr>
          <w:rFonts w:ascii="Times New Roman" w:hAnsi="Times New Roman" w:cs="Times New Roman"/>
          <w:sz w:val="24"/>
          <w:szCs w:val="24"/>
          <w:lang w:val="en-US"/>
        </w:rPr>
        <w:t xml:space="preserve">The foreign language exam is organized by the Foreign Language Centre  (Centrum Nauczania Języków Obcych UM). Subscriptions  for the exam are conducted in Foreign Language Centre MU from the moment of announcement the exam date. Student can pass the exam from several </w:t>
      </w:r>
    </w:p>
    <w:p w:rsidR="00320AED" w:rsidRDefault="00442B9C" w:rsidP="00442B9C">
      <w:pPr>
        <w:pStyle w:val="Akapitzlist"/>
        <w:ind w:left="780"/>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different languages. Advanced Certificate in English (and similar Certificate from other language) exempt from the exam. Certificates are collected and accepted at the Foreign Language Centre of Medical University of Lodz.</w:t>
      </w:r>
    </w:p>
    <w:p w:rsidR="00522B13" w:rsidRDefault="00522B13" w:rsidP="00442B9C">
      <w:pPr>
        <w:pStyle w:val="Akapitzlist"/>
        <w:ind w:left="780"/>
        <w:jc w:val="both"/>
        <w:rPr>
          <w:rFonts w:ascii="Times New Roman" w:hAnsi="Times New Roman" w:cs="Times New Roman"/>
          <w:sz w:val="24"/>
          <w:szCs w:val="24"/>
          <w:lang w:val="en-US"/>
        </w:rPr>
      </w:pPr>
    </w:p>
    <w:p w:rsidR="00522B13" w:rsidRPr="00442B9C" w:rsidRDefault="00522B13" w:rsidP="00522B13">
      <w:pPr>
        <w:pStyle w:val="Akapitzlist"/>
        <w:numPr>
          <w:ilvl w:val="0"/>
          <w:numId w:val="4"/>
        </w:num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Additional criteria:</w:t>
      </w:r>
    </w:p>
    <w:p w:rsidR="00442B9C" w:rsidRPr="00522B13" w:rsidRDefault="00442B9C" w:rsidP="00522B13">
      <w:pPr>
        <w:pStyle w:val="Akapitzlist"/>
        <w:numPr>
          <w:ilvl w:val="0"/>
          <w:numId w:val="9"/>
        </w:numPr>
        <w:jc w:val="both"/>
        <w:rPr>
          <w:rFonts w:ascii="Times New Roman" w:hAnsi="Times New Roman" w:cs="Times New Roman"/>
          <w:lang w:val="en-US"/>
        </w:rPr>
      </w:pPr>
      <w:r w:rsidRPr="00522B13">
        <w:rPr>
          <w:rFonts w:ascii="Times New Roman" w:hAnsi="Times New Roman" w:cs="Times New Roman"/>
          <w:lang w:val="en-US"/>
        </w:rPr>
        <w:t>Publications :</w:t>
      </w:r>
    </w:p>
    <w:p w:rsidR="00442B9C" w:rsidRPr="00092631" w:rsidRDefault="00442B9C" w:rsidP="00442B9C">
      <w:pPr>
        <w:pStyle w:val="Akapitzlist"/>
        <w:numPr>
          <w:ilvl w:val="0"/>
          <w:numId w:val="6"/>
        </w:numPr>
        <w:jc w:val="both"/>
        <w:rPr>
          <w:rFonts w:ascii="Times New Roman" w:hAnsi="Times New Roman" w:cs="Times New Roman"/>
          <w:lang w:val="en-US"/>
        </w:rPr>
      </w:pPr>
      <w:r w:rsidRPr="00092631">
        <w:rPr>
          <w:rFonts w:ascii="Times New Roman" w:hAnsi="Times New Roman" w:cs="Times New Roman"/>
          <w:lang w:val="en-US"/>
        </w:rPr>
        <w:t>In reviewed journals on the Master Journal List with the IF</w:t>
      </w:r>
      <w:r>
        <w:rPr>
          <w:rFonts w:ascii="Times New Roman" w:hAnsi="Times New Roman" w:cs="Times New Roman"/>
          <w:lang w:val="en-US"/>
        </w:rPr>
        <w:t xml:space="preserve"> – 0,5</w:t>
      </w:r>
      <w:r w:rsidRPr="00092631">
        <w:rPr>
          <w:rFonts w:ascii="Times New Roman" w:hAnsi="Times New Roman" w:cs="Times New Roman"/>
          <w:lang w:val="en-US"/>
        </w:rPr>
        <w:t xml:space="preserve"> point for the first one and  extra 0,</w:t>
      </w:r>
      <w:r>
        <w:rPr>
          <w:rFonts w:ascii="Times New Roman" w:hAnsi="Times New Roman" w:cs="Times New Roman"/>
          <w:lang w:val="en-US"/>
        </w:rPr>
        <w:t>2</w:t>
      </w:r>
      <w:r w:rsidRPr="00092631">
        <w:rPr>
          <w:rFonts w:ascii="Times New Roman" w:hAnsi="Times New Roman" w:cs="Times New Roman"/>
          <w:lang w:val="en-US"/>
        </w:rPr>
        <w:t xml:space="preserve">5 </w:t>
      </w:r>
      <w:r>
        <w:rPr>
          <w:rFonts w:ascii="Times New Roman" w:hAnsi="Times New Roman" w:cs="Times New Roman"/>
          <w:lang w:val="en-US"/>
        </w:rPr>
        <w:t xml:space="preserve">point </w:t>
      </w:r>
      <w:r w:rsidRPr="00092631">
        <w:rPr>
          <w:rFonts w:ascii="Times New Roman" w:hAnsi="Times New Roman" w:cs="Times New Roman"/>
          <w:lang w:val="en-US"/>
        </w:rPr>
        <w:t xml:space="preserve">for </w:t>
      </w:r>
      <w:r>
        <w:rPr>
          <w:rFonts w:ascii="Times New Roman" w:hAnsi="Times New Roman" w:cs="Times New Roman"/>
          <w:lang w:val="en-US"/>
        </w:rPr>
        <w:t xml:space="preserve">the second one and 0,1 point for the </w:t>
      </w:r>
      <w:r w:rsidRPr="00092631">
        <w:rPr>
          <w:rFonts w:ascii="Times New Roman" w:hAnsi="Times New Roman" w:cs="Times New Roman"/>
          <w:lang w:val="en-US"/>
        </w:rPr>
        <w:t>every next one.</w:t>
      </w:r>
    </w:p>
    <w:p w:rsidR="00442B9C" w:rsidRPr="00092631" w:rsidRDefault="00442B9C" w:rsidP="00442B9C">
      <w:pPr>
        <w:pStyle w:val="Akapitzlist"/>
        <w:numPr>
          <w:ilvl w:val="0"/>
          <w:numId w:val="6"/>
        </w:numPr>
        <w:jc w:val="both"/>
        <w:rPr>
          <w:rFonts w:ascii="Times New Roman" w:hAnsi="Times New Roman" w:cs="Times New Roman"/>
          <w:lang w:val="en-US"/>
        </w:rPr>
      </w:pPr>
      <w:r w:rsidRPr="00092631">
        <w:rPr>
          <w:rFonts w:ascii="Times New Roman" w:hAnsi="Times New Roman" w:cs="Times New Roman"/>
          <w:lang w:val="en-US"/>
        </w:rPr>
        <w:t>In reviewed foreign journals</w:t>
      </w:r>
      <w:r>
        <w:rPr>
          <w:rFonts w:ascii="Times New Roman" w:hAnsi="Times New Roman" w:cs="Times New Roman"/>
          <w:lang w:val="en-US"/>
        </w:rPr>
        <w:t>- 0,3</w:t>
      </w:r>
      <w:r w:rsidRPr="00092631">
        <w:rPr>
          <w:rFonts w:ascii="Times New Roman" w:hAnsi="Times New Roman" w:cs="Times New Roman"/>
          <w:lang w:val="en-US"/>
        </w:rPr>
        <w:t xml:space="preserve"> point </w:t>
      </w:r>
      <w:r>
        <w:rPr>
          <w:rFonts w:ascii="Times New Roman" w:hAnsi="Times New Roman" w:cs="Times New Roman"/>
          <w:lang w:val="en-US"/>
        </w:rPr>
        <w:t>for the first one and  extra 0,1</w:t>
      </w:r>
      <w:r w:rsidRPr="00092631">
        <w:rPr>
          <w:rFonts w:ascii="Times New Roman" w:hAnsi="Times New Roman" w:cs="Times New Roman"/>
          <w:lang w:val="en-US"/>
        </w:rPr>
        <w:t>5 for</w:t>
      </w:r>
      <w:r>
        <w:rPr>
          <w:rFonts w:ascii="Times New Roman" w:hAnsi="Times New Roman" w:cs="Times New Roman"/>
          <w:lang w:val="en-US"/>
        </w:rPr>
        <w:t xml:space="preserve"> the second one and 0,1 point for</w:t>
      </w:r>
      <w:r w:rsidRPr="00092631">
        <w:rPr>
          <w:rFonts w:ascii="Times New Roman" w:hAnsi="Times New Roman" w:cs="Times New Roman"/>
          <w:lang w:val="en-US"/>
        </w:rPr>
        <w:t xml:space="preserve"> every next one.</w:t>
      </w:r>
    </w:p>
    <w:p w:rsidR="00442B9C" w:rsidRPr="00092631" w:rsidRDefault="00442B9C" w:rsidP="00442B9C">
      <w:pPr>
        <w:pStyle w:val="Akapitzlist"/>
        <w:numPr>
          <w:ilvl w:val="0"/>
          <w:numId w:val="6"/>
        </w:numPr>
        <w:jc w:val="both"/>
        <w:rPr>
          <w:rFonts w:ascii="Times New Roman" w:hAnsi="Times New Roman" w:cs="Times New Roman"/>
          <w:lang w:val="en-US"/>
        </w:rPr>
      </w:pPr>
      <w:r w:rsidRPr="00092631">
        <w:rPr>
          <w:rFonts w:ascii="Times New Roman" w:hAnsi="Times New Roman" w:cs="Times New Roman"/>
          <w:lang w:val="en-US"/>
        </w:rPr>
        <w:t>In Polish journals on the MNiSW list – 0,2</w:t>
      </w:r>
      <w:r w:rsidRPr="00092631">
        <w:rPr>
          <w:lang w:val="en-US"/>
        </w:rPr>
        <w:t xml:space="preserve"> </w:t>
      </w:r>
      <w:r w:rsidRPr="00092631">
        <w:rPr>
          <w:rFonts w:ascii="Times New Roman" w:hAnsi="Times New Roman" w:cs="Times New Roman"/>
          <w:lang w:val="en-US"/>
        </w:rPr>
        <w:t>point for the first one and  extra 0,1 for every next one</w:t>
      </w:r>
    </w:p>
    <w:p w:rsidR="00442B9C" w:rsidRPr="00092631" w:rsidRDefault="00442B9C" w:rsidP="00442B9C">
      <w:pPr>
        <w:pStyle w:val="Akapitzlist"/>
        <w:numPr>
          <w:ilvl w:val="0"/>
          <w:numId w:val="5"/>
        </w:numPr>
        <w:ind w:left="643"/>
        <w:jc w:val="both"/>
        <w:rPr>
          <w:rFonts w:ascii="Times New Roman" w:hAnsi="Times New Roman" w:cs="Times New Roman"/>
          <w:lang w:val="en-US"/>
        </w:rPr>
      </w:pPr>
      <w:r w:rsidRPr="00092631">
        <w:rPr>
          <w:rFonts w:ascii="Times New Roman" w:hAnsi="Times New Roman" w:cs="Times New Roman"/>
          <w:lang w:val="en-US"/>
        </w:rPr>
        <w:t>Projects awarded during symposiums, scientific congresses, conferences or scientific contests</w:t>
      </w:r>
    </w:p>
    <w:p w:rsidR="00442B9C" w:rsidRPr="00092631" w:rsidRDefault="00442B9C" w:rsidP="00442B9C">
      <w:pPr>
        <w:pStyle w:val="Akapitzlist"/>
        <w:numPr>
          <w:ilvl w:val="0"/>
          <w:numId w:val="7"/>
        </w:numPr>
        <w:jc w:val="both"/>
        <w:rPr>
          <w:rFonts w:ascii="Times New Roman" w:hAnsi="Times New Roman" w:cs="Times New Roman"/>
          <w:lang w:val="en-US"/>
        </w:rPr>
      </w:pPr>
      <w:r w:rsidRPr="00092631">
        <w:rPr>
          <w:rFonts w:ascii="Times New Roman" w:hAnsi="Times New Roman" w:cs="Times New Roman"/>
          <w:lang w:val="en-US"/>
        </w:rPr>
        <w:t>International</w:t>
      </w:r>
      <w:r>
        <w:rPr>
          <w:rFonts w:ascii="Times New Roman" w:hAnsi="Times New Roman" w:cs="Times New Roman"/>
          <w:lang w:val="en-US"/>
        </w:rPr>
        <w:t xml:space="preserve"> level -0,5</w:t>
      </w:r>
      <w:r w:rsidRPr="00092631">
        <w:rPr>
          <w:rFonts w:ascii="Times New Roman" w:hAnsi="Times New Roman" w:cs="Times New Roman"/>
          <w:lang w:val="en-US"/>
        </w:rPr>
        <w:t xml:space="preserve"> point for the first one and  extra 0,</w:t>
      </w:r>
      <w:r>
        <w:rPr>
          <w:rFonts w:ascii="Times New Roman" w:hAnsi="Times New Roman" w:cs="Times New Roman"/>
          <w:lang w:val="en-US"/>
        </w:rPr>
        <w:t>2</w:t>
      </w:r>
      <w:r w:rsidRPr="00092631">
        <w:rPr>
          <w:rFonts w:ascii="Times New Roman" w:hAnsi="Times New Roman" w:cs="Times New Roman"/>
          <w:lang w:val="en-US"/>
        </w:rPr>
        <w:t xml:space="preserve">5 </w:t>
      </w:r>
      <w:r>
        <w:rPr>
          <w:rFonts w:ascii="Times New Roman" w:hAnsi="Times New Roman" w:cs="Times New Roman"/>
          <w:lang w:val="en-US"/>
        </w:rPr>
        <w:t xml:space="preserve">point for the second one and 0,1 point </w:t>
      </w:r>
      <w:r w:rsidRPr="00092631">
        <w:rPr>
          <w:rFonts w:ascii="Times New Roman" w:hAnsi="Times New Roman" w:cs="Times New Roman"/>
          <w:lang w:val="en-US"/>
        </w:rPr>
        <w:t>for every next one.</w:t>
      </w:r>
    </w:p>
    <w:p w:rsidR="00442B9C" w:rsidRPr="00092631" w:rsidRDefault="00442B9C" w:rsidP="00442B9C">
      <w:pPr>
        <w:pStyle w:val="Akapitzlist"/>
        <w:numPr>
          <w:ilvl w:val="0"/>
          <w:numId w:val="7"/>
        </w:numPr>
        <w:jc w:val="both"/>
        <w:rPr>
          <w:rFonts w:ascii="Times New Roman" w:hAnsi="Times New Roman" w:cs="Times New Roman"/>
          <w:lang w:val="en-US"/>
        </w:rPr>
      </w:pPr>
      <w:r w:rsidRPr="00092631">
        <w:rPr>
          <w:rFonts w:ascii="Times New Roman" w:hAnsi="Times New Roman" w:cs="Times New Roman"/>
          <w:lang w:val="en-US"/>
        </w:rPr>
        <w:t xml:space="preserve">National </w:t>
      </w:r>
      <w:r>
        <w:rPr>
          <w:rFonts w:ascii="Times New Roman" w:hAnsi="Times New Roman" w:cs="Times New Roman"/>
          <w:lang w:val="en-US"/>
        </w:rPr>
        <w:t>level -0,3 point for the first one and extra 0,1</w:t>
      </w:r>
      <w:r w:rsidRPr="00092631">
        <w:rPr>
          <w:rFonts w:ascii="Times New Roman" w:hAnsi="Times New Roman" w:cs="Times New Roman"/>
          <w:lang w:val="en-US"/>
        </w:rPr>
        <w:t>5</w:t>
      </w:r>
      <w:r>
        <w:rPr>
          <w:rFonts w:ascii="Times New Roman" w:hAnsi="Times New Roman" w:cs="Times New Roman"/>
          <w:lang w:val="en-US"/>
        </w:rPr>
        <w:t xml:space="preserve"> point for the second one 0,1 point</w:t>
      </w:r>
      <w:r w:rsidRPr="00092631">
        <w:rPr>
          <w:rFonts w:ascii="Times New Roman" w:hAnsi="Times New Roman" w:cs="Times New Roman"/>
          <w:lang w:val="en-US"/>
        </w:rPr>
        <w:t xml:space="preserve"> for every next one.</w:t>
      </w:r>
    </w:p>
    <w:p w:rsidR="00442B9C" w:rsidRPr="00F86D60" w:rsidRDefault="00442B9C" w:rsidP="00442B9C">
      <w:pPr>
        <w:pStyle w:val="Akapitzlist"/>
        <w:numPr>
          <w:ilvl w:val="0"/>
          <w:numId w:val="7"/>
        </w:numPr>
        <w:jc w:val="both"/>
        <w:rPr>
          <w:rFonts w:ascii="Times New Roman" w:hAnsi="Times New Roman" w:cs="Times New Roman"/>
          <w:lang w:val="en-US"/>
        </w:rPr>
      </w:pPr>
      <w:r w:rsidRPr="00F86D60">
        <w:rPr>
          <w:rFonts w:ascii="Times New Roman" w:hAnsi="Times New Roman" w:cs="Times New Roman"/>
          <w:lang w:val="en-US"/>
        </w:rPr>
        <w:lastRenderedPageBreak/>
        <w:t>University level- 0,2 point for the first one and  extra 0,1 for every next one.</w:t>
      </w:r>
    </w:p>
    <w:p w:rsidR="00442B9C" w:rsidRPr="00092631" w:rsidRDefault="00442B9C" w:rsidP="00442B9C">
      <w:pPr>
        <w:pStyle w:val="Akapitzlist"/>
        <w:numPr>
          <w:ilvl w:val="0"/>
          <w:numId w:val="5"/>
        </w:numPr>
        <w:ind w:left="643"/>
        <w:jc w:val="both"/>
        <w:rPr>
          <w:rFonts w:ascii="Times New Roman" w:hAnsi="Times New Roman" w:cs="Times New Roman"/>
          <w:lang w:val="en-US"/>
        </w:rPr>
      </w:pPr>
      <w:r w:rsidRPr="00B17B4B">
        <w:rPr>
          <w:rFonts w:ascii="Times New Roman" w:hAnsi="Times New Roman" w:cs="Times New Roman"/>
          <w:lang w:val="en-US"/>
        </w:rPr>
        <w:t>Active participation</w:t>
      </w:r>
      <w:r w:rsidRPr="00092631">
        <w:rPr>
          <w:rFonts w:ascii="Times New Roman" w:hAnsi="Times New Roman" w:cs="Times New Roman"/>
          <w:lang w:val="en-US"/>
        </w:rPr>
        <w:t xml:space="preserve"> in scientific congresses and symposiums </w:t>
      </w:r>
    </w:p>
    <w:p w:rsidR="00442B9C" w:rsidRPr="00092631" w:rsidRDefault="00442B9C" w:rsidP="00442B9C">
      <w:pPr>
        <w:pStyle w:val="Akapitzlist"/>
        <w:numPr>
          <w:ilvl w:val="0"/>
          <w:numId w:val="8"/>
        </w:numPr>
        <w:jc w:val="both"/>
        <w:rPr>
          <w:rFonts w:ascii="Times New Roman" w:hAnsi="Times New Roman" w:cs="Times New Roman"/>
          <w:lang w:val="en-US"/>
        </w:rPr>
      </w:pPr>
      <w:r w:rsidRPr="00092631">
        <w:rPr>
          <w:rFonts w:ascii="Times New Roman" w:hAnsi="Times New Roman" w:cs="Times New Roman"/>
          <w:lang w:val="en-US"/>
        </w:rPr>
        <w:t>International</w:t>
      </w:r>
      <w:r>
        <w:rPr>
          <w:rFonts w:ascii="Times New Roman" w:hAnsi="Times New Roman" w:cs="Times New Roman"/>
          <w:lang w:val="en-US"/>
        </w:rPr>
        <w:t xml:space="preserve"> –0,5 </w:t>
      </w:r>
      <w:r w:rsidRPr="00092631">
        <w:rPr>
          <w:rFonts w:ascii="Times New Roman" w:hAnsi="Times New Roman" w:cs="Times New Roman"/>
          <w:lang w:val="en-US"/>
        </w:rPr>
        <w:t xml:space="preserve"> point for the first one and  extra 0,</w:t>
      </w:r>
      <w:r>
        <w:rPr>
          <w:rFonts w:ascii="Times New Roman" w:hAnsi="Times New Roman" w:cs="Times New Roman"/>
          <w:lang w:val="en-US"/>
        </w:rPr>
        <w:t>2</w:t>
      </w:r>
      <w:r w:rsidRPr="00092631">
        <w:rPr>
          <w:rFonts w:ascii="Times New Roman" w:hAnsi="Times New Roman" w:cs="Times New Roman"/>
          <w:lang w:val="en-US"/>
        </w:rPr>
        <w:t xml:space="preserve">5 for </w:t>
      </w:r>
      <w:r>
        <w:rPr>
          <w:rFonts w:ascii="Times New Roman" w:hAnsi="Times New Roman" w:cs="Times New Roman"/>
          <w:lang w:val="en-US"/>
        </w:rPr>
        <w:t xml:space="preserve">the second one and 0,1 point for </w:t>
      </w:r>
      <w:r w:rsidRPr="00092631">
        <w:rPr>
          <w:rFonts w:ascii="Times New Roman" w:hAnsi="Times New Roman" w:cs="Times New Roman"/>
          <w:lang w:val="en-US"/>
        </w:rPr>
        <w:t>every next one.</w:t>
      </w:r>
    </w:p>
    <w:p w:rsidR="00442B9C" w:rsidRPr="00F86D60" w:rsidRDefault="00442B9C" w:rsidP="00442B9C">
      <w:pPr>
        <w:pStyle w:val="Akapitzlist"/>
        <w:numPr>
          <w:ilvl w:val="0"/>
          <w:numId w:val="8"/>
        </w:numPr>
        <w:jc w:val="both"/>
        <w:rPr>
          <w:rFonts w:ascii="Times New Roman" w:hAnsi="Times New Roman" w:cs="Times New Roman"/>
          <w:lang w:val="en-US"/>
        </w:rPr>
      </w:pPr>
      <w:r>
        <w:rPr>
          <w:rFonts w:ascii="Times New Roman" w:hAnsi="Times New Roman" w:cs="Times New Roman"/>
          <w:lang w:val="en-US"/>
        </w:rPr>
        <w:t>National – 0,3</w:t>
      </w:r>
      <w:r w:rsidRPr="00F86D60">
        <w:rPr>
          <w:rFonts w:ascii="Times New Roman" w:hAnsi="Times New Roman" w:cs="Times New Roman"/>
          <w:lang w:val="en-US"/>
        </w:rPr>
        <w:t xml:space="preserve"> point for the first one and </w:t>
      </w:r>
      <w:r>
        <w:rPr>
          <w:rFonts w:ascii="Times New Roman" w:hAnsi="Times New Roman" w:cs="Times New Roman"/>
          <w:lang w:val="en-US"/>
        </w:rPr>
        <w:t xml:space="preserve"> 0,15 point for the second one and extra 0,1 point</w:t>
      </w:r>
      <w:r w:rsidRPr="00F86D60">
        <w:rPr>
          <w:rFonts w:ascii="Times New Roman" w:hAnsi="Times New Roman" w:cs="Times New Roman"/>
          <w:lang w:val="en-US"/>
        </w:rPr>
        <w:t xml:space="preserve"> for every next one.</w:t>
      </w:r>
    </w:p>
    <w:p w:rsidR="00442B9C" w:rsidRPr="00092631" w:rsidRDefault="00442B9C" w:rsidP="00442B9C">
      <w:pPr>
        <w:pStyle w:val="Akapitzlist"/>
        <w:numPr>
          <w:ilvl w:val="0"/>
          <w:numId w:val="8"/>
        </w:numPr>
        <w:jc w:val="both"/>
        <w:rPr>
          <w:rFonts w:ascii="Times New Roman" w:hAnsi="Times New Roman" w:cs="Times New Roman"/>
          <w:lang w:val="en-US"/>
        </w:rPr>
      </w:pPr>
      <w:r w:rsidRPr="00092631">
        <w:rPr>
          <w:rFonts w:ascii="Times New Roman" w:hAnsi="Times New Roman" w:cs="Times New Roman"/>
          <w:lang w:val="en-US"/>
        </w:rPr>
        <w:t>University -</w:t>
      </w:r>
      <w:r>
        <w:rPr>
          <w:rFonts w:ascii="Times New Roman" w:hAnsi="Times New Roman" w:cs="Times New Roman"/>
          <w:lang w:val="en-US"/>
        </w:rPr>
        <w:t xml:space="preserve"> </w:t>
      </w:r>
      <w:r w:rsidRPr="00092631">
        <w:rPr>
          <w:rFonts w:ascii="Times New Roman" w:hAnsi="Times New Roman" w:cs="Times New Roman"/>
          <w:lang w:val="en-US"/>
        </w:rPr>
        <w:t>0,2 point for the first one and  extra 0,1 for every next one.</w:t>
      </w:r>
    </w:p>
    <w:p w:rsidR="00442B9C" w:rsidRPr="00092631" w:rsidRDefault="00442B9C" w:rsidP="00442B9C">
      <w:pPr>
        <w:pStyle w:val="Akapitzlist"/>
        <w:numPr>
          <w:ilvl w:val="0"/>
          <w:numId w:val="5"/>
        </w:numPr>
        <w:ind w:left="643"/>
        <w:jc w:val="both"/>
        <w:rPr>
          <w:rFonts w:ascii="Times New Roman" w:hAnsi="Times New Roman" w:cs="Times New Roman"/>
          <w:lang w:val="en-US"/>
        </w:rPr>
      </w:pPr>
      <w:r w:rsidRPr="00092631">
        <w:rPr>
          <w:rFonts w:ascii="Times New Roman" w:hAnsi="Times New Roman" w:cs="Times New Roman"/>
          <w:lang w:val="en-US"/>
        </w:rPr>
        <w:t>Participation in research-interest groups – at least 1 year- 0,5</w:t>
      </w:r>
      <w:r>
        <w:rPr>
          <w:rFonts w:ascii="Times New Roman" w:hAnsi="Times New Roman" w:cs="Times New Roman"/>
          <w:lang w:val="en-US"/>
        </w:rPr>
        <w:t xml:space="preserve"> </w:t>
      </w:r>
      <w:r w:rsidRPr="00092631">
        <w:rPr>
          <w:rFonts w:ascii="Times New Roman" w:hAnsi="Times New Roman" w:cs="Times New Roman"/>
          <w:lang w:val="en-US"/>
        </w:rPr>
        <w:t>point confirmed by the Group Coordinator</w:t>
      </w:r>
    </w:p>
    <w:p w:rsidR="00442B9C" w:rsidRDefault="00442B9C" w:rsidP="00442B9C">
      <w:pPr>
        <w:pStyle w:val="Akapitzlist"/>
        <w:numPr>
          <w:ilvl w:val="0"/>
          <w:numId w:val="5"/>
        </w:numPr>
        <w:ind w:left="643"/>
        <w:jc w:val="both"/>
        <w:rPr>
          <w:rFonts w:ascii="Times New Roman" w:hAnsi="Times New Roman" w:cs="Times New Roman"/>
          <w:lang w:val="en-US"/>
        </w:rPr>
      </w:pPr>
      <w:r w:rsidRPr="00092631">
        <w:rPr>
          <w:rFonts w:ascii="Times New Roman" w:hAnsi="Times New Roman" w:cs="Times New Roman"/>
          <w:lang w:val="en-US"/>
        </w:rPr>
        <w:t>Students that participate in Erasmus programme for the first time will get 1point.</w:t>
      </w:r>
    </w:p>
    <w:p w:rsidR="00442B9C" w:rsidRDefault="00442B9C" w:rsidP="00442B9C">
      <w:pPr>
        <w:pStyle w:val="Akapitzlist"/>
        <w:numPr>
          <w:ilvl w:val="0"/>
          <w:numId w:val="5"/>
        </w:numPr>
        <w:ind w:left="643"/>
        <w:jc w:val="both"/>
        <w:rPr>
          <w:rFonts w:ascii="Times New Roman" w:hAnsi="Times New Roman" w:cs="Times New Roman"/>
          <w:lang w:val="en-US"/>
        </w:rPr>
      </w:pPr>
      <w:r>
        <w:rPr>
          <w:rFonts w:ascii="Times New Roman" w:hAnsi="Times New Roman" w:cs="Times New Roman"/>
          <w:lang w:val="en-US"/>
        </w:rPr>
        <w:t xml:space="preserve">1 point for the  </w:t>
      </w:r>
      <w:r w:rsidRPr="00A702A3">
        <w:rPr>
          <w:rFonts w:ascii="Times New Roman" w:hAnsi="Times New Roman" w:cs="Times New Roman"/>
          <w:lang w:val="en-US"/>
        </w:rPr>
        <w:t xml:space="preserve">significant </w:t>
      </w:r>
      <w:r>
        <w:rPr>
          <w:rFonts w:ascii="Times New Roman" w:hAnsi="Times New Roman" w:cs="Times New Roman"/>
          <w:lang w:val="en-US"/>
        </w:rPr>
        <w:t>participation in activities for incoming Erasmus students. Erasmus Administrative Coordinator will grant the point on the base of the A</w:t>
      </w:r>
    </w:p>
    <w:p w:rsidR="00442B9C" w:rsidRPr="00442B9C" w:rsidRDefault="00442B9C" w:rsidP="00442B9C">
      <w:pPr>
        <w:pStyle w:val="Akapitzlist"/>
        <w:ind w:left="780"/>
        <w:jc w:val="both"/>
        <w:rPr>
          <w:rFonts w:ascii="Times New Roman" w:hAnsi="Times New Roman" w:cs="Times New Roman"/>
          <w:sz w:val="24"/>
          <w:szCs w:val="24"/>
          <w:lang w:val="en-US"/>
        </w:rPr>
      </w:pPr>
    </w:p>
    <w:p w:rsidR="00442B9C" w:rsidRPr="00442B9C" w:rsidRDefault="00442B9C" w:rsidP="00442B9C">
      <w:pPr>
        <w:pStyle w:val="Akapitzlist"/>
        <w:ind w:left="780"/>
        <w:jc w:val="both"/>
        <w:rPr>
          <w:rFonts w:ascii="Times New Roman" w:hAnsi="Times New Roman" w:cs="Times New Roman"/>
          <w:sz w:val="24"/>
          <w:szCs w:val="24"/>
          <w:lang w:val="en-US"/>
        </w:rPr>
      </w:pPr>
    </w:p>
    <w:p w:rsidR="00320AED" w:rsidRPr="00442B9C" w:rsidRDefault="00DE52D0"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5</w:t>
      </w:r>
      <w:r w:rsidR="000F5BCD" w:rsidRPr="00442B9C">
        <w:rPr>
          <w:rFonts w:ascii="Times New Roman" w:hAnsi="Times New Roman" w:cs="Times New Roman"/>
          <w:sz w:val="24"/>
          <w:szCs w:val="24"/>
          <w:lang w:val="en-US"/>
        </w:rPr>
        <w:t>. If more than one candidate</w:t>
      </w:r>
      <w:r w:rsidR="00320AED" w:rsidRPr="00442B9C">
        <w:rPr>
          <w:rFonts w:ascii="Times New Roman" w:hAnsi="Times New Roman" w:cs="Times New Roman"/>
          <w:sz w:val="24"/>
          <w:szCs w:val="24"/>
          <w:lang w:val="en-US"/>
        </w:rPr>
        <w:t xml:space="preserve"> achieve</w:t>
      </w:r>
      <w:r w:rsidR="000F5BCD" w:rsidRPr="00442B9C">
        <w:rPr>
          <w:rFonts w:ascii="Times New Roman" w:hAnsi="Times New Roman" w:cs="Times New Roman"/>
          <w:sz w:val="24"/>
          <w:szCs w:val="24"/>
          <w:lang w:val="en-US"/>
        </w:rPr>
        <w:t>s</w:t>
      </w:r>
      <w:r w:rsidR="00320AED" w:rsidRPr="00442B9C">
        <w:rPr>
          <w:rFonts w:ascii="Times New Roman" w:hAnsi="Times New Roman" w:cs="Times New Roman"/>
          <w:sz w:val="24"/>
          <w:szCs w:val="24"/>
          <w:lang w:val="en-US"/>
        </w:rPr>
        <w:t xml:space="preserve"> the same number of points, the conclusive </w:t>
      </w:r>
      <w:r w:rsidR="000F5BCD" w:rsidRPr="00442B9C">
        <w:rPr>
          <w:rFonts w:ascii="Times New Roman" w:hAnsi="Times New Roman" w:cs="Times New Roman"/>
          <w:sz w:val="24"/>
          <w:szCs w:val="24"/>
          <w:lang w:val="en-US"/>
        </w:rPr>
        <w:t>criterium</w:t>
      </w:r>
      <w:r w:rsidRPr="00442B9C">
        <w:rPr>
          <w:rFonts w:ascii="Times New Roman" w:hAnsi="Times New Roman" w:cs="Times New Roman"/>
          <w:sz w:val="24"/>
          <w:szCs w:val="24"/>
          <w:lang w:val="en-US"/>
        </w:rPr>
        <w:t xml:space="preserve"> is the mean grade. </w:t>
      </w:r>
      <w:r w:rsidR="00320AED" w:rsidRPr="00442B9C">
        <w:rPr>
          <w:rFonts w:ascii="Times New Roman" w:hAnsi="Times New Roman" w:cs="Times New Roman"/>
          <w:sz w:val="24"/>
          <w:szCs w:val="24"/>
          <w:lang w:val="en-US"/>
        </w:rPr>
        <w:t>If the mean grade is id</w:t>
      </w:r>
      <w:r w:rsidR="000F5BCD" w:rsidRPr="00442B9C">
        <w:rPr>
          <w:rFonts w:ascii="Times New Roman" w:hAnsi="Times New Roman" w:cs="Times New Roman"/>
          <w:sz w:val="24"/>
          <w:szCs w:val="24"/>
          <w:lang w:val="en-US"/>
        </w:rPr>
        <w:t>entical, the conclusive criterium</w:t>
      </w:r>
      <w:r w:rsidR="00320AED" w:rsidRPr="00442B9C">
        <w:rPr>
          <w:rFonts w:ascii="Times New Roman" w:hAnsi="Times New Roman" w:cs="Times New Roman"/>
          <w:sz w:val="24"/>
          <w:szCs w:val="24"/>
          <w:lang w:val="en-US"/>
        </w:rPr>
        <w:t xml:space="preserve"> are the additional crit</w:t>
      </w:r>
      <w:r w:rsidR="000F5BCD" w:rsidRPr="00442B9C">
        <w:rPr>
          <w:rFonts w:ascii="Times New Roman" w:hAnsi="Times New Roman" w:cs="Times New Roman"/>
          <w:sz w:val="24"/>
          <w:szCs w:val="24"/>
          <w:lang w:val="en-US"/>
        </w:rPr>
        <w:t>erium</w:t>
      </w:r>
      <w:r w:rsidRPr="00442B9C">
        <w:rPr>
          <w:rFonts w:ascii="Times New Roman" w:hAnsi="Times New Roman" w:cs="Times New Roman"/>
          <w:sz w:val="24"/>
          <w:szCs w:val="24"/>
          <w:lang w:val="en-US"/>
        </w:rPr>
        <w:t xml:space="preserve"> and finally the </w:t>
      </w:r>
      <w:r w:rsidR="000F5BCD" w:rsidRPr="00442B9C">
        <w:rPr>
          <w:rFonts w:ascii="Times New Roman" w:hAnsi="Times New Roman" w:cs="Times New Roman"/>
          <w:sz w:val="24"/>
          <w:szCs w:val="24"/>
          <w:lang w:val="en-US"/>
        </w:rPr>
        <w:t xml:space="preserve">decision of the </w:t>
      </w:r>
      <w:r w:rsidRPr="00442B9C">
        <w:rPr>
          <w:rFonts w:ascii="Times New Roman" w:hAnsi="Times New Roman" w:cs="Times New Roman"/>
          <w:sz w:val="24"/>
          <w:szCs w:val="24"/>
          <w:lang w:val="en-US"/>
        </w:rPr>
        <w:t xml:space="preserve">Admissions </w:t>
      </w:r>
      <w:r w:rsidR="00320AED" w:rsidRPr="00442B9C">
        <w:rPr>
          <w:rFonts w:ascii="Times New Roman" w:hAnsi="Times New Roman" w:cs="Times New Roman"/>
          <w:sz w:val="24"/>
          <w:szCs w:val="24"/>
          <w:lang w:val="en-US"/>
        </w:rPr>
        <w:t>Committee.</w:t>
      </w:r>
    </w:p>
    <w:p w:rsidR="00320AED" w:rsidRPr="00442B9C" w:rsidRDefault="00013720"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6</w:t>
      </w:r>
      <w:r w:rsidR="00320AED" w:rsidRPr="00442B9C">
        <w:rPr>
          <w:rFonts w:ascii="Times New Roman" w:hAnsi="Times New Roman" w:cs="Times New Roman"/>
          <w:sz w:val="24"/>
          <w:szCs w:val="24"/>
          <w:lang w:val="en-US"/>
        </w:rPr>
        <w:t>. The Admissions Committee approves candidates for study mobility dur</w:t>
      </w:r>
      <w:r w:rsidR="00DE52D0" w:rsidRPr="00442B9C">
        <w:rPr>
          <w:rFonts w:ascii="Times New Roman" w:hAnsi="Times New Roman" w:cs="Times New Roman"/>
          <w:sz w:val="24"/>
          <w:szCs w:val="24"/>
          <w:lang w:val="en-US"/>
        </w:rPr>
        <w:t xml:space="preserve">ing one sitting. The Admissions </w:t>
      </w:r>
      <w:r w:rsidR="00320AED" w:rsidRPr="00442B9C">
        <w:rPr>
          <w:rFonts w:ascii="Times New Roman" w:hAnsi="Times New Roman" w:cs="Times New Roman"/>
          <w:sz w:val="24"/>
          <w:szCs w:val="24"/>
          <w:lang w:val="en-US"/>
        </w:rPr>
        <w:t>Committee approves candidates for study mobility with</w:t>
      </w:r>
      <w:r w:rsidR="000F5BCD" w:rsidRPr="00442B9C">
        <w:rPr>
          <w:rFonts w:ascii="Times New Roman" w:hAnsi="Times New Roman" w:cs="Times New Roman"/>
          <w:sz w:val="24"/>
          <w:szCs w:val="24"/>
          <w:lang w:val="en-US"/>
        </w:rPr>
        <w:t xml:space="preserve"> and without</w:t>
      </w:r>
      <w:r w:rsidR="00320AED" w:rsidRPr="00442B9C">
        <w:rPr>
          <w:rFonts w:ascii="Times New Roman" w:hAnsi="Times New Roman" w:cs="Times New Roman"/>
          <w:sz w:val="24"/>
          <w:szCs w:val="24"/>
          <w:lang w:val="en-US"/>
        </w:rPr>
        <w:t xml:space="preserve"> the right to the E</w:t>
      </w:r>
      <w:r w:rsidR="000F5BCD" w:rsidRPr="00442B9C">
        <w:rPr>
          <w:rFonts w:ascii="Times New Roman" w:hAnsi="Times New Roman" w:cs="Times New Roman"/>
          <w:sz w:val="24"/>
          <w:szCs w:val="24"/>
          <w:lang w:val="en-US"/>
        </w:rPr>
        <w:t>rasmus+ scholarship</w:t>
      </w:r>
      <w:r w:rsidR="00320AED" w:rsidRPr="00442B9C">
        <w:rPr>
          <w:rFonts w:ascii="Times New Roman" w:hAnsi="Times New Roman" w:cs="Times New Roman"/>
          <w:sz w:val="24"/>
          <w:szCs w:val="24"/>
          <w:lang w:val="en-US"/>
        </w:rPr>
        <w:t xml:space="preserve">. The number of candidates with </w:t>
      </w:r>
      <w:r w:rsidR="000F5BCD" w:rsidRPr="00442B9C">
        <w:rPr>
          <w:rFonts w:ascii="Times New Roman" w:hAnsi="Times New Roman" w:cs="Times New Roman"/>
          <w:sz w:val="24"/>
          <w:szCs w:val="24"/>
          <w:lang w:val="en-US"/>
        </w:rPr>
        <w:t xml:space="preserve">and without </w:t>
      </w:r>
      <w:r w:rsidR="00320AED" w:rsidRPr="00442B9C">
        <w:rPr>
          <w:rFonts w:ascii="Times New Roman" w:hAnsi="Times New Roman" w:cs="Times New Roman"/>
          <w:sz w:val="24"/>
          <w:szCs w:val="24"/>
          <w:lang w:val="en-US"/>
        </w:rPr>
        <w:t>the rig</w:t>
      </w:r>
      <w:r w:rsidR="000F5BCD" w:rsidRPr="00442B9C">
        <w:rPr>
          <w:rFonts w:ascii="Times New Roman" w:hAnsi="Times New Roman" w:cs="Times New Roman"/>
          <w:sz w:val="24"/>
          <w:szCs w:val="24"/>
          <w:lang w:val="en-US"/>
        </w:rPr>
        <w:t xml:space="preserve">ht to the Erasmus+ scholarship </w:t>
      </w:r>
      <w:r w:rsidR="00DE52D0" w:rsidRPr="00442B9C">
        <w:rPr>
          <w:rFonts w:ascii="Times New Roman" w:hAnsi="Times New Roman" w:cs="Times New Roman"/>
          <w:sz w:val="24"/>
          <w:szCs w:val="24"/>
          <w:lang w:val="en-US"/>
        </w:rPr>
        <w:t xml:space="preserve">is decided by the </w:t>
      </w:r>
      <w:r w:rsidR="00320AED" w:rsidRPr="00442B9C">
        <w:rPr>
          <w:rFonts w:ascii="Times New Roman" w:hAnsi="Times New Roman" w:cs="Times New Roman"/>
          <w:sz w:val="24"/>
          <w:szCs w:val="24"/>
          <w:lang w:val="en-US"/>
        </w:rPr>
        <w:t>Admissions Committee d</w:t>
      </w:r>
      <w:r w:rsidR="00DE52D0" w:rsidRPr="00442B9C">
        <w:rPr>
          <w:rFonts w:ascii="Times New Roman" w:hAnsi="Times New Roman" w:cs="Times New Roman"/>
          <w:sz w:val="24"/>
          <w:szCs w:val="24"/>
          <w:lang w:val="en-US"/>
        </w:rPr>
        <w:t xml:space="preserve">uring the qualification meeting under condition that Medical University of Lodz will be </w:t>
      </w:r>
      <w:r w:rsidR="007B6860" w:rsidRPr="00442B9C">
        <w:rPr>
          <w:rFonts w:ascii="Times New Roman" w:hAnsi="Times New Roman" w:cs="Times New Roman"/>
          <w:sz w:val="24"/>
          <w:szCs w:val="24"/>
          <w:lang w:val="en-US"/>
        </w:rPr>
        <w:t xml:space="preserve">have a knowledge about quantity of founds for the students </w:t>
      </w:r>
      <w:r w:rsidRPr="00442B9C">
        <w:rPr>
          <w:rFonts w:ascii="Times New Roman" w:hAnsi="Times New Roman" w:cs="Times New Roman"/>
          <w:sz w:val="24"/>
          <w:szCs w:val="24"/>
          <w:lang w:val="en-US"/>
        </w:rPr>
        <w:t>scholar</w:t>
      </w:r>
      <w:r w:rsidR="007B6860" w:rsidRPr="00442B9C">
        <w:rPr>
          <w:rFonts w:ascii="Times New Roman" w:hAnsi="Times New Roman" w:cs="Times New Roman"/>
          <w:sz w:val="24"/>
          <w:szCs w:val="24"/>
          <w:lang w:val="en-US"/>
        </w:rPr>
        <w:t xml:space="preserve">ships available for academic year 2015/2016. Other way Admission Committee will award places and Representative of the Medical University of Lodz for International Cooperation will decide about </w:t>
      </w:r>
      <w:r w:rsidR="009C2872" w:rsidRPr="00442B9C">
        <w:rPr>
          <w:rFonts w:ascii="Times New Roman" w:hAnsi="Times New Roman" w:cs="Times New Roman"/>
          <w:sz w:val="24"/>
          <w:szCs w:val="24"/>
          <w:lang w:val="en-US"/>
        </w:rPr>
        <w:t xml:space="preserve">the </w:t>
      </w:r>
      <w:r w:rsidR="007B6860" w:rsidRPr="00442B9C">
        <w:rPr>
          <w:rFonts w:ascii="Times New Roman" w:hAnsi="Times New Roman" w:cs="Times New Roman"/>
          <w:sz w:val="24"/>
          <w:szCs w:val="24"/>
          <w:lang w:val="en-US"/>
        </w:rPr>
        <w:t xml:space="preserve">numbers of grants as soon as National Agency for Erasmus + </w:t>
      </w:r>
      <w:r w:rsidR="009C2872" w:rsidRPr="00442B9C">
        <w:rPr>
          <w:rFonts w:ascii="Times New Roman" w:hAnsi="Times New Roman" w:cs="Times New Roman"/>
          <w:sz w:val="24"/>
          <w:szCs w:val="24"/>
          <w:lang w:val="en-US"/>
        </w:rPr>
        <w:t>informes</w:t>
      </w:r>
      <w:r w:rsidR="007B6860" w:rsidRPr="00442B9C">
        <w:rPr>
          <w:rFonts w:ascii="Times New Roman" w:hAnsi="Times New Roman" w:cs="Times New Roman"/>
          <w:sz w:val="24"/>
          <w:szCs w:val="24"/>
          <w:lang w:val="en-US"/>
        </w:rPr>
        <w:t xml:space="preserve"> us about </w:t>
      </w:r>
      <w:r w:rsidR="009C2872" w:rsidRPr="00442B9C">
        <w:rPr>
          <w:rFonts w:ascii="Times New Roman" w:hAnsi="Times New Roman" w:cs="Times New Roman"/>
          <w:sz w:val="24"/>
          <w:szCs w:val="24"/>
          <w:lang w:val="en-US"/>
        </w:rPr>
        <w:t>admitted f</w:t>
      </w:r>
      <w:r w:rsidRPr="00442B9C">
        <w:rPr>
          <w:rFonts w:ascii="Times New Roman" w:hAnsi="Times New Roman" w:cs="Times New Roman"/>
          <w:sz w:val="24"/>
          <w:szCs w:val="24"/>
          <w:lang w:val="en-US"/>
        </w:rPr>
        <w:t>unds.</w:t>
      </w:r>
    </w:p>
    <w:p w:rsidR="00013720" w:rsidRPr="00442B9C" w:rsidRDefault="00013720"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7</w:t>
      </w:r>
      <w:r w:rsidR="00320AED" w:rsidRPr="00442B9C">
        <w:rPr>
          <w:rFonts w:ascii="Times New Roman" w:hAnsi="Times New Roman" w:cs="Times New Roman"/>
          <w:sz w:val="24"/>
          <w:szCs w:val="24"/>
          <w:lang w:val="en-US"/>
        </w:rPr>
        <w:t xml:space="preserve">. </w:t>
      </w:r>
      <w:r w:rsidRPr="00442B9C">
        <w:rPr>
          <w:rFonts w:ascii="Times New Roman" w:hAnsi="Times New Roman" w:cs="Times New Roman"/>
          <w:sz w:val="24"/>
          <w:szCs w:val="24"/>
          <w:lang w:val="en-US"/>
        </w:rPr>
        <w:t>A student can appeal against the decision of the  Admissions Committee. The appeal shou</w:t>
      </w:r>
      <w:r w:rsidR="000F5BCD" w:rsidRPr="00442B9C">
        <w:rPr>
          <w:rFonts w:ascii="Times New Roman" w:hAnsi="Times New Roman" w:cs="Times New Roman"/>
          <w:sz w:val="24"/>
          <w:szCs w:val="24"/>
          <w:lang w:val="en-US"/>
        </w:rPr>
        <w:t>ld be submitted within 7 days after</w:t>
      </w:r>
      <w:r w:rsidRPr="00442B9C">
        <w:rPr>
          <w:rFonts w:ascii="Times New Roman" w:hAnsi="Times New Roman" w:cs="Times New Roman"/>
          <w:sz w:val="24"/>
          <w:szCs w:val="24"/>
          <w:lang w:val="en-US"/>
        </w:rPr>
        <w:t xml:space="preserve"> receiving the decision, to the Vice-rector of Organizational and Student Affairs.</w:t>
      </w:r>
    </w:p>
    <w:p w:rsidR="00013720" w:rsidRPr="00442B9C" w:rsidRDefault="00B41D1C"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8</w:t>
      </w:r>
      <w:r w:rsidR="00013720" w:rsidRPr="00442B9C">
        <w:rPr>
          <w:rFonts w:ascii="Times New Roman" w:hAnsi="Times New Roman" w:cs="Times New Roman"/>
          <w:sz w:val="24"/>
          <w:szCs w:val="24"/>
          <w:lang w:val="en-US"/>
        </w:rPr>
        <w:t>. A student can appeal against the decision of the Vice-rector of Organizational and Student Affairs within 7days.</w:t>
      </w:r>
    </w:p>
    <w:p w:rsidR="00B41D1C" w:rsidRPr="00442B9C" w:rsidRDefault="00B41D1C" w:rsidP="00B41D1C">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9.</w:t>
      </w:r>
      <w:r w:rsidRPr="00442B9C">
        <w:rPr>
          <w:sz w:val="24"/>
          <w:szCs w:val="24"/>
          <w:lang w:val="en-US"/>
        </w:rPr>
        <w:t xml:space="preserve"> </w:t>
      </w:r>
      <w:r w:rsidRPr="00442B9C">
        <w:rPr>
          <w:rFonts w:ascii="Times New Roman" w:hAnsi="Times New Roman" w:cs="Times New Roman"/>
          <w:sz w:val="24"/>
          <w:szCs w:val="24"/>
          <w:lang w:val="en-US"/>
        </w:rPr>
        <w:t>Students applying for Traineeship in Erasmus+ mobility program should deliver following documents in Foreign Affairs Office</w:t>
      </w:r>
      <w:r w:rsidR="00522B13">
        <w:rPr>
          <w:rFonts w:ascii="Times New Roman" w:hAnsi="Times New Roman" w:cs="Times New Roman"/>
          <w:sz w:val="24"/>
          <w:szCs w:val="24"/>
          <w:lang w:val="en-US"/>
        </w:rPr>
        <w:t xml:space="preserve"> (pl. Hallera 1, building 1, 2</w:t>
      </w:r>
      <w:r w:rsidR="00522B13">
        <w:rPr>
          <w:rFonts w:ascii="Times New Roman" w:hAnsi="Times New Roman" w:cs="Times New Roman"/>
          <w:sz w:val="24"/>
          <w:szCs w:val="24"/>
          <w:vertAlign w:val="superscript"/>
          <w:lang w:val="en-US"/>
        </w:rPr>
        <w:t>nd</w:t>
      </w:r>
      <w:r w:rsidRPr="00442B9C">
        <w:rPr>
          <w:rFonts w:ascii="Times New Roman" w:hAnsi="Times New Roman" w:cs="Times New Roman"/>
          <w:sz w:val="24"/>
          <w:szCs w:val="24"/>
          <w:lang w:val="en-US"/>
        </w:rPr>
        <w:t xml:space="preserve"> floor, room 225</w:t>
      </w:r>
      <w:r w:rsidR="00522B13">
        <w:rPr>
          <w:rFonts w:ascii="Times New Roman" w:hAnsi="Times New Roman" w:cs="Times New Roman"/>
          <w:sz w:val="24"/>
          <w:szCs w:val="24"/>
          <w:lang w:val="en-US"/>
        </w:rPr>
        <w:t>/228</w:t>
      </w:r>
      <w:r w:rsidRPr="00442B9C">
        <w:rPr>
          <w:rFonts w:ascii="Times New Roman" w:hAnsi="Times New Roman" w:cs="Times New Roman"/>
          <w:sz w:val="24"/>
          <w:szCs w:val="24"/>
          <w:lang w:val="en-US"/>
        </w:rPr>
        <w:t>) :</w:t>
      </w:r>
    </w:p>
    <w:p w:rsidR="00B41D1C" w:rsidRPr="00442B9C" w:rsidRDefault="00B41D1C" w:rsidP="00B41D1C">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w:t>
      </w:r>
      <w:r w:rsidRPr="00442B9C">
        <w:rPr>
          <w:rFonts w:ascii="Times New Roman" w:hAnsi="Times New Roman" w:cs="Times New Roman"/>
          <w:sz w:val="24"/>
          <w:szCs w:val="24"/>
          <w:lang w:val="en-US"/>
        </w:rPr>
        <w:tab/>
        <w:t>Filled “Application form for candidates for study mobility Erasmus + Programme. Studying abroad.”</w:t>
      </w:r>
    </w:p>
    <w:p w:rsidR="00013720" w:rsidRPr="00442B9C" w:rsidRDefault="00013720"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10. Students approved for international study mobility can only move to those partner universities which hold the Erasmus Charter for Higher Education, and have signed bilateral agreements with the Medical University of Lodz relevant to the Erasmus+ Programme. The programme shall be realized pursuant to the number of places, study fields, and levels specified in these agreements. The student must arrive and leave the partner </w:t>
      </w:r>
      <w:r w:rsidR="00522B13">
        <w:rPr>
          <w:rFonts w:ascii="Times New Roman" w:hAnsi="Times New Roman" w:cs="Times New Roman"/>
          <w:sz w:val="24"/>
          <w:szCs w:val="24"/>
          <w:lang w:val="en-US"/>
        </w:rPr>
        <w:t>university between 1.07.2016 and 30.09.2017</w:t>
      </w:r>
      <w:r w:rsidRPr="00442B9C">
        <w:rPr>
          <w:rFonts w:ascii="Times New Roman" w:hAnsi="Times New Roman" w:cs="Times New Roman"/>
          <w:sz w:val="24"/>
          <w:szCs w:val="24"/>
          <w:lang w:val="en-US"/>
        </w:rPr>
        <w:t>. The period of stay cannot be shorter than 3 months and longer the one academic year</w:t>
      </w:r>
      <w:r w:rsidR="00522B13">
        <w:rPr>
          <w:rFonts w:ascii="Times New Roman" w:hAnsi="Times New Roman" w:cs="Times New Roman"/>
          <w:sz w:val="24"/>
          <w:szCs w:val="24"/>
          <w:lang w:val="en-US"/>
        </w:rPr>
        <w:t xml:space="preserve"> (including </w:t>
      </w:r>
      <w:r w:rsidR="00522B13" w:rsidRPr="00522B13">
        <w:rPr>
          <w:rFonts w:ascii="Times New Roman" w:hAnsi="Times New Roman" w:cs="Times New Roman"/>
          <w:sz w:val="24"/>
          <w:szCs w:val="24"/>
          <w:lang w:val="en-US"/>
        </w:rPr>
        <w:t>extension of stay</w:t>
      </w:r>
      <w:r w:rsidR="00522B13">
        <w:rPr>
          <w:rFonts w:ascii="Times New Roman" w:hAnsi="Times New Roman" w:cs="Times New Roman"/>
          <w:sz w:val="24"/>
          <w:szCs w:val="24"/>
          <w:lang w:val="en-US"/>
        </w:rPr>
        <w:t>)</w:t>
      </w:r>
      <w:r w:rsidRPr="00442B9C">
        <w:rPr>
          <w:rFonts w:ascii="Times New Roman" w:hAnsi="Times New Roman" w:cs="Times New Roman"/>
          <w:sz w:val="24"/>
          <w:szCs w:val="24"/>
          <w:lang w:val="en-US"/>
        </w:rPr>
        <w:t xml:space="preserve">. The minimal time of stay at the partner university comprises </w:t>
      </w:r>
      <w:r w:rsidRPr="00442B9C">
        <w:rPr>
          <w:rFonts w:ascii="Times New Roman" w:hAnsi="Times New Roman" w:cs="Times New Roman"/>
          <w:sz w:val="24"/>
          <w:szCs w:val="24"/>
          <w:lang w:val="en-US"/>
        </w:rPr>
        <w:lastRenderedPageBreak/>
        <w:t>only of the study period and not the eventual language preparation</w:t>
      </w:r>
      <w:r w:rsidR="00D117AD" w:rsidRPr="00442B9C">
        <w:rPr>
          <w:rFonts w:ascii="Times New Roman" w:hAnsi="Times New Roman" w:cs="Times New Roman"/>
          <w:sz w:val="24"/>
          <w:szCs w:val="24"/>
          <w:lang w:val="en-US"/>
        </w:rPr>
        <w:t>. S</w:t>
      </w:r>
      <w:r w:rsidR="00AC4A2C" w:rsidRPr="00442B9C">
        <w:rPr>
          <w:rFonts w:ascii="Times New Roman" w:hAnsi="Times New Roman" w:cs="Times New Roman"/>
          <w:sz w:val="24"/>
          <w:szCs w:val="24"/>
          <w:lang w:val="en-US"/>
        </w:rPr>
        <w:t>tud</w:t>
      </w:r>
      <w:r w:rsidR="00D117AD" w:rsidRPr="00442B9C">
        <w:rPr>
          <w:rFonts w:ascii="Times New Roman" w:hAnsi="Times New Roman" w:cs="Times New Roman"/>
          <w:sz w:val="24"/>
          <w:szCs w:val="24"/>
          <w:lang w:val="en-US"/>
        </w:rPr>
        <w:t>ent cannot</w:t>
      </w:r>
      <w:r w:rsidR="00D21E58" w:rsidRPr="00442B9C">
        <w:rPr>
          <w:rFonts w:ascii="Times New Roman" w:hAnsi="Times New Roman" w:cs="Times New Roman"/>
          <w:sz w:val="24"/>
          <w:szCs w:val="24"/>
          <w:lang w:val="en-US"/>
        </w:rPr>
        <w:t xml:space="preserve"> apply to the student native</w:t>
      </w:r>
      <w:r w:rsidR="00AC4A2C" w:rsidRPr="00442B9C">
        <w:rPr>
          <w:rFonts w:ascii="Times New Roman" w:hAnsi="Times New Roman" w:cs="Times New Roman"/>
          <w:sz w:val="24"/>
          <w:szCs w:val="24"/>
          <w:lang w:val="en-US"/>
        </w:rPr>
        <w:t xml:space="preserve"> country (citizenship).</w:t>
      </w:r>
    </w:p>
    <w:p w:rsidR="00013720" w:rsidRPr="00442B9C" w:rsidRDefault="00B356A1" w:rsidP="00B356A1">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11. The Admissions Committee determines the length of the study period at the foreign university for each candidate.</w:t>
      </w:r>
    </w:p>
    <w:p w:rsidR="00B356A1" w:rsidRPr="00442B9C" w:rsidRDefault="00B356A1" w:rsidP="00B356A1">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12. The Medical University of Lodz cond</w:t>
      </w:r>
      <w:r w:rsidR="000F5BCD" w:rsidRPr="00442B9C">
        <w:rPr>
          <w:rFonts w:ascii="Times New Roman" w:hAnsi="Times New Roman" w:cs="Times New Roman"/>
          <w:sz w:val="24"/>
          <w:szCs w:val="24"/>
          <w:lang w:val="en-US"/>
        </w:rPr>
        <w:t>ucts only one recruitment in an</w:t>
      </w:r>
      <w:r w:rsidRPr="00442B9C">
        <w:rPr>
          <w:rFonts w:ascii="Times New Roman" w:hAnsi="Times New Roman" w:cs="Times New Roman"/>
          <w:sz w:val="24"/>
          <w:szCs w:val="24"/>
          <w:lang w:val="en-US"/>
        </w:rPr>
        <w:t xml:space="preserve"> academic year. Vacant places and places left by resigning students can be used by students from the reserve list or (if there are no candidates left on the reserve list) by students prolonging their period of stay abroad or by students chosen by coordinators </w:t>
      </w:r>
      <w:r w:rsidR="000F5BCD" w:rsidRPr="00442B9C">
        <w:rPr>
          <w:rFonts w:ascii="Times New Roman" w:hAnsi="Times New Roman" w:cs="Times New Roman"/>
          <w:sz w:val="24"/>
          <w:szCs w:val="24"/>
          <w:lang w:val="en-US"/>
        </w:rPr>
        <w:t xml:space="preserve">departmental and  institutional </w:t>
      </w:r>
      <w:r w:rsidRPr="00442B9C">
        <w:rPr>
          <w:rFonts w:ascii="Times New Roman" w:hAnsi="Times New Roman" w:cs="Times New Roman"/>
          <w:sz w:val="24"/>
          <w:szCs w:val="24"/>
          <w:lang w:val="en-US"/>
        </w:rPr>
        <w:t xml:space="preserve">without the necessity of preparing an additional recruitment. In case there are a lot </w:t>
      </w:r>
      <w:r w:rsidR="000F5BCD" w:rsidRPr="00442B9C">
        <w:rPr>
          <w:rFonts w:ascii="Times New Roman" w:hAnsi="Times New Roman" w:cs="Times New Roman"/>
          <w:sz w:val="24"/>
          <w:szCs w:val="24"/>
          <w:lang w:val="en-US"/>
        </w:rPr>
        <w:t xml:space="preserve">of </w:t>
      </w:r>
      <w:r w:rsidRPr="00442B9C">
        <w:rPr>
          <w:rFonts w:ascii="Times New Roman" w:hAnsi="Times New Roman" w:cs="Times New Roman"/>
          <w:sz w:val="24"/>
          <w:szCs w:val="24"/>
          <w:lang w:val="en-US"/>
        </w:rPr>
        <w:t>vacant places the MUL can organize an additional recruitment.</w:t>
      </w:r>
    </w:p>
    <w:p w:rsidR="00B356A1" w:rsidRPr="00442B9C" w:rsidRDefault="00983DC2" w:rsidP="00983DC2">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13. All the rules (except for those concerning the awarded scholarship</w:t>
      </w:r>
      <w:r w:rsidR="000F5BCD" w:rsidRPr="00442B9C">
        <w:rPr>
          <w:rFonts w:ascii="Times New Roman" w:hAnsi="Times New Roman" w:cs="Times New Roman"/>
          <w:sz w:val="24"/>
          <w:szCs w:val="24"/>
          <w:lang w:val="en-US"/>
        </w:rPr>
        <w:t>) also relate to those students</w:t>
      </w:r>
      <w:r w:rsidRPr="00442B9C">
        <w:rPr>
          <w:rFonts w:ascii="Times New Roman" w:hAnsi="Times New Roman" w:cs="Times New Roman"/>
          <w:sz w:val="24"/>
          <w:szCs w:val="24"/>
          <w:lang w:val="en-US"/>
        </w:rPr>
        <w:t xml:space="preserve"> who meet all the formal and qualitative criteria and participate in the mobility without receiving scholarships (Erasmus+ students without a scholarship).</w:t>
      </w:r>
    </w:p>
    <w:p w:rsidR="00B356A1" w:rsidRPr="00442B9C" w:rsidRDefault="00983DC2" w:rsidP="00983DC2">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14. International student mobility is organized by the Foreign Affairs Office</w:t>
      </w:r>
      <w:r w:rsidR="00F22FDD">
        <w:rPr>
          <w:rFonts w:ascii="Times New Roman" w:hAnsi="Times New Roman" w:cs="Times New Roman"/>
          <w:sz w:val="24"/>
          <w:szCs w:val="24"/>
          <w:lang w:val="en-US"/>
        </w:rPr>
        <w:t xml:space="preserve"> (pl. Hallera 1, building 1, 2</w:t>
      </w:r>
      <w:r w:rsidR="00F22FDD">
        <w:rPr>
          <w:rFonts w:ascii="Times New Roman" w:hAnsi="Times New Roman" w:cs="Times New Roman"/>
          <w:sz w:val="24"/>
          <w:szCs w:val="24"/>
          <w:vertAlign w:val="superscript"/>
          <w:lang w:val="en-US"/>
        </w:rPr>
        <w:t>nd</w:t>
      </w:r>
      <w:r w:rsidRPr="00442B9C">
        <w:rPr>
          <w:rFonts w:ascii="Times New Roman" w:hAnsi="Times New Roman" w:cs="Times New Roman"/>
          <w:sz w:val="24"/>
          <w:szCs w:val="24"/>
          <w:lang w:val="en-US"/>
        </w:rPr>
        <w:t xml:space="preserve"> floor, room 225</w:t>
      </w:r>
      <w:r w:rsidR="00F22FDD">
        <w:rPr>
          <w:rFonts w:ascii="Times New Roman" w:hAnsi="Times New Roman" w:cs="Times New Roman"/>
          <w:sz w:val="24"/>
          <w:szCs w:val="24"/>
          <w:lang w:val="en-US"/>
        </w:rPr>
        <w:t>/228</w:t>
      </w:r>
      <w:r w:rsidRPr="00442B9C">
        <w:rPr>
          <w:rFonts w:ascii="Times New Roman" w:hAnsi="Times New Roman" w:cs="Times New Roman"/>
          <w:sz w:val="24"/>
          <w:szCs w:val="24"/>
          <w:lang w:val="en-US"/>
        </w:rPr>
        <w:t xml:space="preserve">) </w:t>
      </w:r>
    </w:p>
    <w:p w:rsidR="00983DC2" w:rsidRPr="00442B9C" w:rsidRDefault="00983DC2" w:rsidP="00983DC2">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15. All </w:t>
      </w:r>
      <w:r w:rsidR="000F5BCD" w:rsidRPr="00442B9C">
        <w:rPr>
          <w:rFonts w:ascii="Times New Roman" w:hAnsi="Times New Roman" w:cs="Times New Roman"/>
          <w:sz w:val="24"/>
          <w:szCs w:val="24"/>
          <w:lang w:val="en-US"/>
        </w:rPr>
        <w:t xml:space="preserve">the </w:t>
      </w:r>
      <w:r w:rsidRPr="00442B9C">
        <w:rPr>
          <w:rFonts w:ascii="Times New Roman" w:hAnsi="Times New Roman" w:cs="Times New Roman"/>
          <w:sz w:val="24"/>
          <w:szCs w:val="24"/>
          <w:lang w:val="en-US"/>
        </w:rPr>
        <w:t>students approved for student mobility within the Erasmus+ Pr</w:t>
      </w:r>
      <w:r w:rsidR="000F5BCD" w:rsidRPr="00442B9C">
        <w:rPr>
          <w:rFonts w:ascii="Times New Roman" w:hAnsi="Times New Roman" w:cs="Times New Roman"/>
          <w:sz w:val="24"/>
          <w:szCs w:val="24"/>
          <w:lang w:val="en-US"/>
        </w:rPr>
        <w:t>ogramme are required to fill</w:t>
      </w:r>
      <w:r w:rsidRPr="00442B9C">
        <w:rPr>
          <w:rFonts w:ascii="Times New Roman" w:hAnsi="Times New Roman" w:cs="Times New Roman"/>
          <w:sz w:val="24"/>
          <w:szCs w:val="24"/>
          <w:lang w:val="en-US"/>
        </w:rPr>
        <w:t xml:space="preserve"> and submit at the Foreign Affairs Office</w:t>
      </w:r>
      <w:r w:rsidR="00F22FDD">
        <w:rPr>
          <w:rFonts w:ascii="Times New Roman" w:hAnsi="Times New Roman" w:cs="Times New Roman"/>
          <w:sz w:val="24"/>
          <w:szCs w:val="24"/>
          <w:lang w:val="en-US"/>
        </w:rPr>
        <w:t xml:space="preserve"> (pl. Hallera 1, building 1, 2</w:t>
      </w:r>
      <w:r w:rsidR="00F22FDD">
        <w:rPr>
          <w:rFonts w:ascii="Times New Roman" w:hAnsi="Times New Roman" w:cs="Times New Roman"/>
          <w:sz w:val="24"/>
          <w:szCs w:val="24"/>
          <w:vertAlign w:val="superscript"/>
          <w:lang w:val="en-US"/>
        </w:rPr>
        <w:t>nd</w:t>
      </w:r>
      <w:r w:rsidRPr="00442B9C">
        <w:rPr>
          <w:rFonts w:ascii="Times New Roman" w:hAnsi="Times New Roman" w:cs="Times New Roman"/>
          <w:sz w:val="24"/>
          <w:szCs w:val="24"/>
          <w:lang w:val="en-US"/>
        </w:rPr>
        <w:t xml:space="preserve"> floor, room 225</w:t>
      </w:r>
      <w:r w:rsidR="00F22FDD">
        <w:rPr>
          <w:rFonts w:ascii="Times New Roman" w:hAnsi="Times New Roman" w:cs="Times New Roman"/>
          <w:sz w:val="24"/>
          <w:szCs w:val="24"/>
          <w:lang w:val="en-US"/>
        </w:rPr>
        <w:t>/228</w:t>
      </w:r>
      <w:r w:rsidRPr="00442B9C">
        <w:rPr>
          <w:rFonts w:ascii="Times New Roman" w:hAnsi="Times New Roman" w:cs="Times New Roman"/>
          <w:sz w:val="24"/>
          <w:szCs w:val="24"/>
          <w:lang w:val="en-US"/>
        </w:rPr>
        <w:t>) the following documents:</w:t>
      </w:r>
    </w:p>
    <w:p w:rsidR="00983DC2" w:rsidRPr="00442B9C" w:rsidRDefault="00983DC2" w:rsidP="00983DC2">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Learning Agree</w:t>
      </w:r>
      <w:r w:rsidR="000F5BCD" w:rsidRPr="00442B9C">
        <w:rPr>
          <w:rFonts w:ascii="Times New Roman" w:hAnsi="Times New Roman" w:cs="Times New Roman"/>
          <w:sz w:val="24"/>
          <w:szCs w:val="24"/>
          <w:lang w:val="en-US"/>
        </w:rPr>
        <w:t xml:space="preserve">ment containing the agreed </w:t>
      </w:r>
      <w:r w:rsidRPr="00442B9C">
        <w:rPr>
          <w:rFonts w:ascii="Times New Roman" w:hAnsi="Times New Roman" w:cs="Times New Roman"/>
          <w:sz w:val="24"/>
          <w:szCs w:val="24"/>
          <w:lang w:val="en-US"/>
        </w:rPr>
        <w:t>foreign study programme</w:t>
      </w:r>
    </w:p>
    <w:p w:rsidR="00B356A1" w:rsidRPr="00442B9C" w:rsidRDefault="00983DC2" w:rsidP="00983DC2">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 Other documents required by the host university </w:t>
      </w:r>
    </w:p>
    <w:p w:rsidR="00983DC2" w:rsidRPr="00442B9C" w:rsidRDefault="00A17712"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16. Each student approved for student mobility within the Erasmus+ Programme should contact </w:t>
      </w:r>
      <w:r w:rsidR="000F5BCD" w:rsidRPr="00442B9C">
        <w:rPr>
          <w:rFonts w:ascii="Times New Roman" w:hAnsi="Times New Roman" w:cs="Times New Roman"/>
          <w:sz w:val="24"/>
          <w:szCs w:val="24"/>
          <w:lang w:val="en-US"/>
        </w:rPr>
        <w:t xml:space="preserve">the </w:t>
      </w:r>
      <w:r w:rsidRPr="00442B9C">
        <w:rPr>
          <w:rFonts w:ascii="Times New Roman" w:hAnsi="Times New Roman" w:cs="Times New Roman"/>
          <w:sz w:val="24"/>
          <w:szCs w:val="24"/>
          <w:lang w:val="en-US"/>
        </w:rPr>
        <w:t xml:space="preserve">host university </w:t>
      </w:r>
      <w:r w:rsidR="00F46BFE" w:rsidRPr="00442B9C">
        <w:rPr>
          <w:rFonts w:ascii="Times New Roman" w:hAnsi="Times New Roman" w:cs="Times New Roman"/>
          <w:sz w:val="24"/>
          <w:szCs w:val="24"/>
          <w:lang w:val="en-US"/>
        </w:rPr>
        <w:t xml:space="preserve">in order to send all </w:t>
      </w:r>
      <w:r w:rsidR="000F5BCD" w:rsidRPr="00442B9C">
        <w:rPr>
          <w:rFonts w:ascii="Times New Roman" w:hAnsi="Times New Roman" w:cs="Times New Roman"/>
          <w:sz w:val="24"/>
          <w:szCs w:val="24"/>
          <w:lang w:val="en-US"/>
        </w:rPr>
        <w:t>the required documents when it is</w:t>
      </w:r>
      <w:r w:rsidR="00E96B34" w:rsidRPr="00442B9C">
        <w:rPr>
          <w:rFonts w:ascii="Times New Roman" w:hAnsi="Times New Roman" w:cs="Times New Roman"/>
          <w:sz w:val="24"/>
          <w:szCs w:val="24"/>
          <w:lang w:val="en-US"/>
        </w:rPr>
        <w:t xml:space="preserve"> due</w:t>
      </w:r>
      <w:r w:rsidR="00F46BFE" w:rsidRPr="00442B9C">
        <w:rPr>
          <w:rFonts w:ascii="Times New Roman" w:hAnsi="Times New Roman" w:cs="Times New Roman"/>
          <w:sz w:val="24"/>
          <w:szCs w:val="24"/>
          <w:lang w:val="en-US"/>
        </w:rPr>
        <w:t xml:space="preserve">. </w:t>
      </w:r>
    </w:p>
    <w:p w:rsidR="00983DC2" w:rsidRPr="00442B9C" w:rsidRDefault="00811557"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17. Before the mobility start</w:t>
      </w:r>
      <w:r w:rsidR="00E96B34" w:rsidRPr="00442B9C">
        <w:rPr>
          <w:rFonts w:ascii="Times New Roman" w:hAnsi="Times New Roman" w:cs="Times New Roman"/>
          <w:sz w:val="24"/>
          <w:szCs w:val="24"/>
          <w:lang w:val="en-US"/>
        </w:rPr>
        <w:t>s</w:t>
      </w:r>
      <w:r w:rsidRPr="00442B9C">
        <w:rPr>
          <w:rFonts w:ascii="Times New Roman" w:hAnsi="Times New Roman" w:cs="Times New Roman"/>
          <w:sz w:val="24"/>
          <w:szCs w:val="24"/>
          <w:lang w:val="en-US"/>
        </w:rPr>
        <w:t xml:space="preserve"> </w:t>
      </w:r>
      <w:r w:rsidR="00E96B34" w:rsidRPr="00442B9C">
        <w:rPr>
          <w:rFonts w:ascii="Times New Roman" w:hAnsi="Times New Roman" w:cs="Times New Roman"/>
          <w:sz w:val="24"/>
          <w:szCs w:val="24"/>
          <w:lang w:val="en-US"/>
        </w:rPr>
        <w:t xml:space="preserve">each student accepted is obliged (except natives) do </w:t>
      </w:r>
      <w:r w:rsidR="00C830BF" w:rsidRPr="00442B9C">
        <w:rPr>
          <w:rFonts w:ascii="Times New Roman" w:hAnsi="Times New Roman" w:cs="Times New Roman"/>
          <w:sz w:val="24"/>
          <w:szCs w:val="24"/>
          <w:lang w:val="en-US"/>
        </w:rPr>
        <w:t>L</w:t>
      </w:r>
      <w:r w:rsidRPr="00442B9C">
        <w:rPr>
          <w:rFonts w:ascii="Times New Roman" w:hAnsi="Times New Roman" w:cs="Times New Roman"/>
          <w:sz w:val="24"/>
          <w:szCs w:val="24"/>
          <w:lang w:val="en-US"/>
        </w:rPr>
        <w:t xml:space="preserve">anguage </w:t>
      </w:r>
      <w:r w:rsidR="00C830BF" w:rsidRPr="00442B9C">
        <w:rPr>
          <w:rFonts w:ascii="Times New Roman" w:hAnsi="Times New Roman" w:cs="Times New Roman"/>
          <w:sz w:val="24"/>
          <w:szCs w:val="24"/>
          <w:lang w:val="en-US"/>
        </w:rPr>
        <w:t>Assessment exam</w:t>
      </w:r>
      <w:r w:rsidRPr="00442B9C">
        <w:rPr>
          <w:rFonts w:ascii="Times New Roman" w:hAnsi="Times New Roman" w:cs="Times New Roman"/>
          <w:sz w:val="24"/>
          <w:szCs w:val="24"/>
          <w:lang w:val="en-US"/>
        </w:rPr>
        <w:t xml:space="preserve"> (Medical University will support </w:t>
      </w:r>
      <w:r w:rsidR="00E96B34" w:rsidRPr="00442B9C">
        <w:rPr>
          <w:rFonts w:ascii="Times New Roman" w:hAnsi="Times New Roman" w:cs="Times New Roman"/>
          <w:sz w:val="24"/>
          <w:szCs w:val="24"/>
          <w:lang w:val="en-US"/>
        </w:rPr>
        <w:t xml:space="preserve">the </w:t>
      </w:r>
      <w:r w:rsidRPr="00442B9C">
        <w:rPr>
          <w:rFonts w:ascii="Times New Roman" w:hAnsi="Times New Roman" w:cs="Times New Roman"/>
          <w:sz w:val="24"/>
          <w:szCs w:val="24"/>
          <w:lang w:val="en-US"/>
        </w:rPr>
        <w:t>access to the tool that permit</w:t>
      </w:r>
      <w:r w:rsidR="00E96B34" w:rsidRPr="00442B9C">
        <w:rPr>
          <w:rFonts w:ascii="Times New Roman" w:hAnsi="Times New Roman" w:cs="Times New Roman"/>
          <w:sz w:val="24"/>
          <w:szCs w:val="24"/>
          <w:lang w:val="en-US"/>
        </w:rPr>
        <w:t>s</w:t>
      </w:r>
      <w:r w:rsidRPr="00442B9C">
        <w:rPr>
          <w:rFonts w:ascii="Times New Roman" w:hAnsi="Times New Roman" w:cs="Times New Roman"/>
          <w:sz w:val="24"/>
          <w:szCs w:val="24"/>
          <w:lang w:val="en-US"/>
        </w:rPr>
        <w:t xml:space="preserve"> to take</w:t>
      </w:r>
      <w:r w:rsidR="00E96B34" w:rsidRPr="00442B9C">
        <w:rPr>
          <w:rFonts w:ascii="Times New Roman" w:hAnsi="Times New Roman" w:cs="Times New Roman"/>
          <w:sz w:val="24"/>
          <w:szCs w:val="24"/>
          <w:lang w:val="en-US"/>
        </w:rPr>
        <w:t xml:space="preserve"> the exam on-line). The result of the exam has no influence on</w:t>
      </w:r>
      <w:r w:rsidRPr="00442B9C">
        <w:rPr>
          <w:rFonts w:ascii="Times New Roman" w:hAnsi="Times New Roman" w:cs="Times New Roman"/>
          <w:sz w:val="24"/>
          <w:szCs w:val="24"/>
          <w:lang w:val="en-US"/>
        </w:rPr>
        <w:t xml:space="preserve"> the student mobility </w:t>
      </w:r>
      <w:r w:rsidR="00C830BF" w:rsidRPr="00442B9C">
        <w:rPr>
          <w:rFonts w:ascii="Times New Roman" w:hAnsi="Times New Roman" w:cs="Times New Roman"/>
          <w:sz w:val="24"/>
          <w:szCs w:val="24"/>
          <w:lang w:val="en-US"/>
        </w:rPr>
        <w:t>p</w:t>
      </w:r>
      <w:r w:rsidR="00E96B34" w:rsidRPr="00442B9C">
        <w:rPr>
          <w:rFonts w:ascii="Times New Roman" w:hAnsi="Times New Roman" w:cs="Times New Roman"/>
          <w:sz w:val="24"/>
          <w:szCs w:val="24"/>
          <w:lang w:val="en-US"/>
        </w:rPr>
        <w:t xml:space="preserve">rogram. Positive result allows the </w:t>
      </w:r>
      <w:r w:rsidR="00C830BF" w:rsidRPr="00442B9C">
        <w:rPr>
          <w:rFonts w:ascii="Times New Roman" w:hAnsi="Times New Roman" w:cs="Times New Roman"/>
          <w:sz w:val="24"/>
          <w:szCs w:val="24"/>
          <w:lang w:val="en-US"/>
        </w:rPr>
        <w:t xml:space="preserve">student to participate in the on-line language course. Participating course is not obligatory. </w:t>
      </w:r>
      <w:r w:rsidR="00E96B34" w:rsidRPr="00442B9C">
        <w:rPr>
          <w:rFonts w:ascii="Times New Roman" w:hAnsi="Times New Roman" w:cs="Times New Roman"/>
          <w:sz w:val="24"/>
          <w:szCs w:val="24"/>
          <w:lang w:val="en-US"/>
        </w:rPr>
        <w:t>The s</w:t>
      </w:r>
      <w:r w:rsidR="00C830BF" w:rsidRPr="00442B9C">
        <w:rPr>
          <w:rFonts w:ascii="Times New Roman" w:hAnsi="Times New Roman" w:cs="Times New Roman"/>
          <w:sz w:val="24"/>
          <w:szCs w:val="24"/>
          <w:lang w:val="en-US"/>
        </w:rPr>
        <w:t xml:space="preserve">tudent with on-line course license should use it appropriately in </w:t>
      </w:r>
      <w:r w:rsidR="00E96B34" w:rsidRPr="00442B9C">
        <w:rPr>
          <w:rFonts w:ascii="Times New Roman" w:hAnsi="Times New Roman" w:cs="Times New Roman"/>
          <w:sz w:val="24"/>
          <w:szCs w:val="24"/>
          <w:lang w:val="en-US"/>
        </w:rPr>
        <w:t xml:space="preserve">the </w:t>
      </w:r>
      <w:r w:rsidR="00C830BF" w:rsidRPr="00442B9C">
        <w:rPr>
          <w:rFonts w:ascii="Times New Roman" w:hAnsi="Times New Roman" w:cs="Times New Roman"/>
          <w:sz w:val="24"/>
          <w:szCs w:val="24"/>
          <w:lang w:val="en-US"/>
        </w:rPr>
        <w:t xml:space="preserve">period between both Language Assessment exams.  </w:t>
      </w:r>
    </w:p>
    <w:p w:rsidR="00C830BF" w:rsidRPr="00442B9C" w:rsidRDefault="00910E92" w:rsidP="00AA5311">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18.</w:t>
      </w:r>
      <w:r w:rsidR="00AA5311" w:rsidRPr="00442B9C">
        <w:rPr>
          <w:rFonts w:ascii="Times New Roman" w:hAnsi="Times New Roman" w:cs="Times New Roman"/>
          <w:sz w:val="24"/>
          <w:szCs w:val="24"/>
          <w:lang w:val="en-US"/>
        </w:rPr>
        <w:t xml:space="preserve"> With each approved student for student mobility In the Erasmus+ Pr</w:t>
      </w:r>
      <w:r w:rsidR="009176FB" w:rsidRPr="00442B9C">
        <w:rPr>
          <w:rFonts w:ascii="Times New Roman" w:hAnsi="Times New Roman" w:cs="Times New Roman"/>
          <w:sz w:val="24"/>
          <w:szCs w:val="24"/>
          <w:lang w:val="en-US"/>
        </w:rPr>
        <w:t xml:space="preserve">ogramme there will be a written </w:t>
      </w:r>
      <w:r w:rsidR="00AA5311" w:rsidRPr="00442B9C">
        <w:rPr>
          <w:rFonts w:ascii="Times New Roman" w:hAnsi="Times New Roman" w:cs="Times New Roman"/>
          <w:sz w:val="24"/>
          <w:szCs w:val="24"/>
          <w:lang w:val="en-US"/>
        </w:rPr>
        <w:t>agreement prepared, explaining each sides obligations.</w:t>
      </w:r>
    </w:p>
    <w:p w:rsidR="00811557" w:rsidRPr="00442B9C" w:rsidRDefault="009176FB" w:rsidP="009176FB">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19. Each student approved for the mobility will receive an Erasmus+ Student Charter delivered to the university by the National Agency.</w:t>
      </w:r>
    </w:p>
    <w:p w:rsidR="00811557" w:rsidRPr="00442B9C" w:rsidRDefault="007257AC"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20. The student should be insured for the period of the travel and stay at the partner university.</w:t>
      </w:r>
      <w:r w:rsidR="00183A33" w:rsidRPr="00442B9C">
        <w:rPr>
          <w:sz w:val="24"/>
          <w:szCs w:val="24"/>
          <w:lang w:val="en-US"/>
        </w:rPr>
        <w:t xml:space="preserve"> </w:t>
      </w:r>
      <w:r w:rsidR="00183A33" w:rsidRPr="00442B9C">
        <w:rPr>
          <w:rFonts w:ascii="Times New Roman" w:hAnsi="Times New Roman" w:cs="Times New Roman"/>
          <w:sz w:val="24"/>
          <w:szCs w:val="24"/>
          <w:lang w:val="en-US"/>
        </w:rPr>
        <w:t>Should possess valid Health Insurance European Card (ECUZ) and civil liability (OC) and Consequences of the Unfortunate Accidents (NNW).</w:t>
      </w:r>
    </w:p>
    <w:p w:rsidR="00811557" w:rsidRDefault="008C42A3"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 xml:space="preserve">21. It is possible to extend study period only if ( without grant) both coordinators </w:t>
      </w:r>
      <w:r w:rsidR="00E96B34" w:rsidRPr="00442B9C">
        <w:rPr>
          <w:rFonts w:ascii="Times New Roman" w:hAnsi="Times New Roman" w:cs="Times New Roman"/>
          <w:sz w:val="24"/>
          <w:szCs w:val="24"/>
          <w:lang w:val="en-US"/>
        </w:rPr>
        <w:t xml:space="preserve">of </w:t>
      </w:r>
      <w:r w:rsidRPr="00442B9C">
        <w:rPr>
          <w:rFonts w:ascii="Times New Roman" w:hAnsi="Times New Roman" w:cs="Times New Roman"/>
          <w:sz w:val="24"/>
          <w:szCs w:val="24"/>
          <w:lang w:val="en-US"/>
        </w:rPr>
        <w:t>Erasmus + programme from sending an</w:t>
      </w:r>
      <w:r w:rsidR="00E96B34" w:rsidRPr="00442B9C">
        <w:rPr>
          <w:rFonts w:ascii="Times New Roman" w:hAnsi="Times New Roman" w:cs="Times New Roman"/>
          <w:sz w:val="24"/>
          <w:szCs w:val="24"/>
          <w:lang w:val="en-US"/>
        </w:rPr>
        <w:t>d host institution will agree. The s</w:t>
      </w:r>
      <w:r w:rsidRPr="00442B9C">
        <w:rPr>
          <w:rFonts w:ascii="Times New Roman" w:hAnsi="Times New Roman" w:cs="Times New Roman"/>
          <w:sz w:val="24"/>
          <w:szCs w:val="24"/>
          <w:lang w:val="en-US"/>
        </w:rPr>
        <w:t xml:space="preserve">tudent can extend </w:t>
      </w:r>
      <w:r w:rsidR="00E96B34" w:rsidRPr="00442B9C">
        <w:rPr>
          <w:rFonts w:ascii="Times New Roman" w:hAnsi="Times New Roman" w:cs="Times New Roman"/>
          <w:sz w:val="24"/>
          <w:szCs w:val="24"/>
          <w:lang w:val="en-US"/>
        </w:rPr>
        <w:t xml:space="preserve">the study </w:t>
      </w:r>
      <w:r w:rsidR="00E96B34" w:rsidRPr="00442B9C">
        <w:rPr>
          <w:rFonts w:ascii="Times New Roman" w:hAnsi="Times New Roman" w:cs="Times New Roman"/>
          <w:sz w:val="24"/>
          <w:szCs w:val="24"/>
          <w:lang w:val="en-US"/>
        </w:rPr>
        <w:lastRenderedPageBreak/>
        <w:t>period only at</w:t>
      </w:r>
      <w:r w:rsidRPr="00442B9C">
        <w:rPr>
          <w:rFonts w:ascii="Times New Roman" w:hAnsi="Times New Roman" w:cs="Times New Roman"/>
          <w:sz w:val="24"/>
          <w:szCs w:val="24"/>
          <w:lang w:val="en-US"/>
        </w:rPr>
        <w:t xml:space="preserve"> the university that he was accepted to during the qualification process. Specific presider will be define in separate document. </w:t>
      </w:r>
    </w:p>
    <w:p w:rsidR="00F22FDD" w:rsidRPr="00F22FDD" w:rsidRDefault="00F22FDD" w:rsidP="00013720">
      <w:pPr>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Pr="00F22FDD">
        <w:rPr>
          <w:rFonts w:ascii="Times New Roman" w:hAnsi="Times New Roman" w:cs="Times New Roman"/>
          <w:sz w:val="24"/>
          <w:szCs w:val="24"/>
          <w:lang w:val="en-US"/>
        </w:rPr>
        <w:t xml:space="preserve">. </w:t>
      </w:r>
      <w:r w:rsidRPr="00F22FDD">
        <w:rPr>
          <w:rFonts w:ascii="Times New Roman" w:hAnsi="Times New Roman" w:cs="Times New Roman"/>
          <w:sz w:val="24"/>
          <w:szCs w:val="24"/>
          <w:lang w:val="en-US"/>
        </w:rPr>
        <w:t xml:space="preserve">The student’s </w:t>
      </w:r>
      <w:r w:rsidRPr="00F22FDD">
        <w:rPr>
          <w:rFonts w:ascii="Times New Roman" w:hAnsi="Times New Roman" w:cs="Times New Roman"/>
          <w:sz w:val="24"/>
          <w:szCs w:val="24"/>
          <w:lang w:val="en-US"/>
        </w:rPr>
        <w:t xml:space="preserve">resignation from the </w:t>
      </w:r>
      <w:r w:rsidRPr="00F22FDD">
        <w:rPr>
          <w:rFonts w:ascii="Times New Roman" w:hAnsi="Times New Roman" w:cs="Times New Roman"/>
          <w:sz w:val="24"/>
          <w:szCs w:val="24"/>
          <w:lang w:val="en-US"/>
        </w:rPr>
        <w:t>programme is possible only in the case of fortuitous events, unpredictable, emergency events. In other circumstances student loses a possibility to participate in re-applying for a scholarship and right to go abroad to study and practice under the Erasmus + programme in subsequent years</w:t>
      </w:r>
    </w:p>
    <w:p w:rsidR="008608F6" w:rsidRPr="00442B9C" w:rsidRDefault="00D52AF0" w:rsidP="00013720">
      <w:pPr>
        <w:jc w:val="both"/>
        <w:rPr>
          <w:rFonts w:ascii="Times New Roman" w:hAnsi="Times New Roman" w:cs="Times New Roman"/>
          <w:b/>
          <w:sz w:val="24"/>
          <w:szCs w:val="24"/>
          <w:lang w:val="en-US"/>
        </w:rPr>
      </w:pPr>
      <w:r w:rsidRPr="00442B9C">
        <w:rPr>
          <w:rFonts w:ascii="Times New Roman" w:hAnsi="Times New Roman" w:cs="Times New Roman"/>
          <w:b/>
          <w:sz w:val="24"/>
          <w:szCs w:val="24"/>
          <w:lang w:val="en-US"/>
        </w:rPr>
        <w:t>II. Funding rules for students participating in Erasmus + mobility programme</w:t>
      </w:r>
      <w:r w:rsidR="00B25770" w:rsidRPr="00442B9C">
        <w:rPr>
          <w:rFonts w:ascii="Times New Roman" w:hAnsi="Times New Roman" w:cs="Times New Roman"/>
          <w:b/>
          <w:sz w:val="24"/>
          <w:szCs w:val="24"/>
          <w:lang w:val="en-US"/>
        </w:rPr>
        <w:t xml:space="preserve"> for studies</w:t>
      </w:r>
      <w:r w:rsidRPr="00442B9C">
        <w:rPr>
          <w:rFonts w:ascii="Times New Roman" w:hAnsi="Times New Roman" w:cs="Times New Roman"/>
          <w:b/>
          <w:sz w:val="24"/>
          <w:szCs w:val="24"/>
          <w:lang w:val="en-US"/>
        </w:rPr>
        <w:t>.</w:t>
      </w:r>
    </w:p>
    <w:p w:rsidR="00D52AF0" w:rsidRPr="00442B9C" w:rsidRDefault="002305F9" w:rsidP="002305F9">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w:t>
      </w:r>
      <w:r w:rsidRPr="00442B9C">
        <w:rPr>
          <w:sz w:val="24"/>
          <w:szCs w:val="24"/>
          <w:lang w:val="en-US"/>
        </w:rPr>
        <w:t xml:space="preserve"> </w:t>
      </w:r>
      <w:r w:rsidRPr="00442B9C">
        <w:rPr>
          <w:rFonts w:ascii="Times New Roman" w:hAnsi="Times New Roman" w:cs="Times New Roman"/>
          <w:sz w:val="24"/>
          <w:szCs w:val="24"/>
          <w:lang w:val="en-US"/>
        </w:rPr>
        <w:t>Erasmus+ Programme scholarships are issued to cover any additional costs concerning the trip and stay at the partner university (the costs of the trip itself, language preparation, higher costs of living abroad).</w:t>
      </w:r>
      <w:r w:rsidR="000F5BCD" w:rsidRPr="00442B9C">
        <w:rPr>
          <w:rFonts w:ascii="Times New Roman" w:hAnsi="Times New Roman" w:cs="Times New Roman"/>
          <w:sz w:val="24"/>
          <w:szCs w:val="24"/>
          <w:lang w:val="en-US"/>
        </w:rPr>
        <w:t xml:space="preserve"> The grant does not cover all</w:t>
      </w:r>
      <w:r w:rsidRPr="00442B9C">
        <w:rPr>
          <w:rFonts w:ascii="Times New Roman" w:hAnsi="Times New Roman" w:cs="Times New Roman"/>
          <w:sz w:val="24"/>
          <w:szCs w:val="24"/>
          <w:lang w:val="en-US"/>
        </w:rPr>
        <w:t xml:space="preserve"> the costs. The student</w:t>
      </w:r>
      <w:r w:rsidR="0004005D" w:rsidRPr="00442B9C">
        <w:rPr>
          <w:rFonts w:ascii="Times New Roman" w:hAnsi="Times New Roman" w:cs="Times New Roman"/>
          <w:sz w:val="24"/>
          <w:szCs w:val="24"/>
          <w:lang w:val="en-US"/>
        </w:rPr>
        <w:t>s</w:t>
      </w:r>
      <w:r w:rsidRPr="00442B9C">
        <w:rPr>
          <w:rFonts w:ascii="Times New Roman" w:hAnsi="Times New Roman" w:cs="Times New Roman"/>
          <w:sz w:val="24"/>
          <w:szCs w:val="24"/>
          <w:lang w:val="en-US"/>
        </w:rPr>
        <w:t xml:space="preserve"> approved for international study m</w:t>
      </w:r>
      <w:r w:rsidR="0004005D" w:rsidRPr="00442B9C">
        <w:rPr>
          <w:rFonts w:ascii="Times New Roman" w:hAnsi="Times New Roman" w:cs="Times New Roman"/>
          <w:sz w:val="24"/>
          <w:szCs w:val="24"/>
          <w:lang w:val="en-US"/>
        </w:rPr>
        <w:t>obility accepts the fact that they have</w:t>
      </w:r>
      <w:r w:rsidRPr="00442B9C">
        <w:rPr>
          <w:rFonts w:ascii="Times New Roman" w:hAnsi="Times New Roman" w:cs="Times New Roman"/>
          <w:sz w:val="24"/>
          <w:szCs w:val="24"/>
          <w:lang w:val="en-US"/>
        </w:rPr>
        <w:t xml:space="preserve"> to cover som</w:t>
      </w:r>
      <w:r w:rsidR="000F5BCD" w:rsidRPr="00442B9C">
        <w:rPr>
          <w:rFonts w:ascii="Times New Roman" w:hAnsi="Times New Roman" w:cs="Times New Roman"/>
          <w:sz w:val="24"/>
          <w:szCs w:val="24"/>
          <w:lang w:val="en-US"/>
        </w:rPr>
        <w:t>e of the living expenses themselves</w:t>
      </w:r>
      <w:r w:rsidRPr="00442B9C">
        <w:rPr>
          <w:rFonts w:ascii="Times New Roman" w:hAnsi="Times New Roman" w:cs="Times New Roman"/>
          <w:sz w:val="24"/>
          <w:szCs w:val="24"/>
          <w:lang w:val="en-US"/>
        </w:rPr>
        <w:t>. The final Mount of Erasmus+ financing shall be decided by the university based on a) a statement issued by the host university showing the actual period of stay in the target country. The university guarantees a scholarship for the originally established period of stay. A scholarship for any possible prolongations of stay is not guaranteed.</w:t>
      </w:r>
    </w:p>
    <w:p w:rsidR="00811557" w:rsidRPr="00442B9C" w:rsidRDefault="002305F9" w:rsidP="002305F9">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2. Erasmus+ National Agency, based on the European Commission’s guidelines, in agreement with the national authority for higher education, has defined following scholarsh</w:t>
      </w:r>
      <w:r w:rsidR="00F22FDD">
        <w:rPr>
          <w:rFonts w:ascii="Times New Roman" w:hAnsi="Times New Roman" w:cs="Times New Roman"/>
          <w:sz w:val="24"/>
          <w:szCs w:val="24"/>
          <w:lang w:val="en-US"/>
        </w:rPr>
        <w:t>ips, applicable in the year 2016/2017</w:t>
      </w:r>
      <w:r w:rsidRPr="00442B9C">
        <w:rPr>
          <w:rFonts w:ascii="Times New Roman" w:hAnsi="Times New Roman" w:cs="Times New Roman"/>
          <w:sz w:val="24"/>
          <w:szCs w:val="24"/>
          <w:lang w:val="en-US"/>
        </w:rPr>
        <w:t xml:space="preserve"> for mobility to certain countries:</w:t>
      </w:r>
    </w:p>
    <w:tbl>
      <w:tblPr>
        <w:tblStyle w:val="Tabela-Siatka"/>
        <w:tblW w:w="0" w:type="auto"/>
        <w:tblLook w:val="04A0" w:firstRow="1" w:lastRow="0" w:firstColumn="1" w:lastColumn="0" w:noHBand="0" w:noVBand="1"/>
      </w:tblPr>
      <w:tblGrid>
        <w:gridCol w:w="4531"/>
        <w:gridCol w:w="4531"/>
      </w:tblGrid>
      <w:tr w:rsidR="00F25438" w:rsidRPr="00442B9C" w:rsidTr="007B0DFF">
        <w:tc>
          <w:tcPr>
            <w:tcW w:w="4531" w:type="dxa"/>
          </w:tcPr>
          <w:p w:rsidR="00F25438" w:rsidRPr="00C545DE" w:rsidRDefault="00F25438" w:rsidP="00B57543">
            <w:pPr>
              <w:jc w:val="both"/>
              <w:rPr>
                <w:rFonts w:cs="Arial"/>
                <w:sz w:val="24"/>
                <w:szCs w:val="24"/>
                <w:lang w:val="en-US"/>
              </w:rPr>
            </w:pPr>
            <w:r w:rsidRPr="00C545DE">
              <w:rPr>
                <w:rFonts w:cs="Arial"/>
                <w:sz w:val="24"/>
                <w:szCs w:val="24"/>
                <w:lang w:val="en-US"/>
              </w:rPr>
              <w:t xml:space="preserve">Group of countries </w:t>
            </w:r>
            <w:r w:rsidR="00B57543" w:rsidRPr="00C545DE">
              <w:rPr>
                <w:rFonts w:cs="Arial"/>
                <w:sz w:val="24"/>
                <w:szCs w:val="24"/>
                <w:lang w:val="en-US"/>
              </w:rPr>
              <w:t>:</w:t>
            </w:r>
          </w:p>
        </w:tc>
        <w:tc>
          <w:tcPr>
            <w:tcW w:w="4531" w:type="dxa"/>
          </w:tcPr>
          <w:p w:rsidR="00F25438" w:rsidRPr="00C545DE" w:rsidRDefault="00F25438" w:rsidP="007B0DFF">
            <w:pPr>
              <w:jc w:val="both"/>
              <w:rPr>
                <w:rFonts w:cs="Arial"/>
                <w:sz w:val="24"/>
                <w:szCs w:val="24"/>
                <w:lang w:val="en-US"/>
              </w:rPr>
            </w:pPr>
            <w:r w:rsidRPr="00C545DE">
              <w:rPr>
                <w:rFonts w:cs="Arial"/>
                <w:sz w:val="24"/>
                <w:szCs w:val="24"/>
                <w:lang w:val="en-US"/>
              </w:rPr>
              <w:t>Monthly scholarship rate in EURO</w:t>
            </w:r>
          </w:p>
        </w:tc>
      </w:tr>
      <w:tr w:rsidR="00F25438" w:rsidRPr="00442B9C" w:rsidTr="007B0DFF">
        <w:tc>
          <w:tcPr>
            <w:tcW w:w="4531" w:type="dxa"/>
          </w:tcPr>
          <w:p w:rsidR="00F25438" w:rsidRPr="00C545DE" w:rsidRDefault="00F25438" w:rsidP="00F22FDD">
            <w:pPr>
              <w:rPr>
                <w:rFonts w:cs="Arial"/>
                <w:sz w:val="24"/>
                <w:szCs w:val="24"/>
                <w:lang w:val="en-US"/>
              </w:rPr>
            </w:pPr>
            <w:r w:rsidRPr="00C545DE">
              <w:rPr>
                <w:rFonts w:cs="Arial"/>
                <w:sz w:val="24"/>
                <w:szCs w:val="24"/>
                <w:lang w:val="en-US"/>
              </w:rPr>
              <w:t>Group 1:</w:t>
            </w:r>
          </w:p>
          <w:p w:rsidR="00F25438" w:rsidRPr="00C545DE" w:rsidRDefault="00F25438" w:rsidP="00F22FDD">
            <w:pPr>
              <w:rPr>
                <w:rFonts w:cs="Arial"/>
                <w:sz w:val="24"/>
                <w:szCs w:val="24"/>
                <w:lang w:val="en-US"/>
              </w:rPr>
            </w:pPr>
            <w:r w:rsidRPr="00C545DE">
              <w:rPr>
                <w:rFonts w:cs="Arial"/>
                <w:sz w:val="24"/>
                <w:szCs w:val="24"/>
                <w:lang w:val="en-US"/>
              </w:rPr>
              <w:t>Austria, Denmark, Finland, France,</w:t>
            </w:r>
          </w:p>
          <w:p w:rsidR="00F25438" w:rsidRPr="00C545DE" w:rsidRDefault="00F25438" w:rsidP="00F22FDD">
            <w:pPr>
              <w:rPr>
                <w:rFonts w:cs="Arial"/>
                <w:sz w:val="24"/>
                <w:szCs w:val="24"/>
                <w:lang w:val="en-US"/>
              </w:rPr>
            </w:pPr>
            <w:r w:rsidRPr="00C545DE">
              <w:rPr>
                <w:rFonts w:cs="Arial"/>
                <w:sz w:val="24"/>
                <w:szCs w:val="24"/>
                <w:lang w:val="en-US"/>
              </w:rPr>
              <w:t>Ireland, Lichtenstein, Norway, Sweden,</w:t>
            </w:r>
          </w:p>
          <w:p w:rsidR="00F25438" w:rsidRPr="00C545DE" w:rsidRDefault="00F25438" w:rsidP="00F22FDD">
            <w:pPr>
              <w:rPr>
                <w:rFonts w:cs="Arial"/>
                <w:sz w:val="24"/>
                <w:szCs w:val="24"/>
                <w:lang w:val="en-US"/>
              </w:rPr>
            </w:pPr>
            <w:r w:rsidRPr="00C545DE">
              <w:rPr>
                <w:rFonts w:cs="Arial"/>
                <w:sz w:val="24"/>
                <w:szCs w:val="24"/>
                <w:lang w:val="en-US"/>
              </w:rPr>
              <w:t>Great Britain, Italy</w:t>
            </w:r>
          </w:p>
        </w:tc>
        <w:tc>
          <w:tcPr>
            <w:tcW w:w="4531" w:type="dxa"/>
          </w:tcPr>
          <w:p w:rsidR="00F25438" w:rsidRPr="00C545DE" w:rsidRDefault="00F25438" w:rsidP="007B0DFF">
            <w:pPr>
              <w:jc w:val="both"/>
              <w:rPr>
                <w:rFonts w:cs="Arial"/>
                <w:sz w:val="24"/>
                <w:szCs w:val="24"/>
                <w:lang w:val="en-US"/>
              </w:rPr>
            </w:pPr>
          </w:p>
          <w:p w:rsidR="00F25438" w:rsidRPr="00C545DE" w:rsidRDefault="00F25438" w:rsidP="007B0DFF">
            <w:pPr>
              <w:ind w:left="1416"/>
              <w:jc w:val="both"/>
              <w:rPr>
                <w:rFonts w:cs="Arial"/>
                <w:sz w:val="24"/>
                <w:szCs w:val="24"/>
              </w:rPr>
            </w:pPr>
            <w:r w:rsidRPr="00C545DE">
              <w:rPr>
                <w:rFonts w:cs="Arial"/>
                <w:sz w:val="24"/>
                <w:szCs w:val="24"/>
              </w:rPr>
              <w:t>500</w:t>
            </w:r>
          </w:p>
        </w:tc>
      </w:tr>
      <w:tr w:rsidR="00F25438" w:rsidRPr="00442B9C" w:rsidTr="007B0DFF">
        <w:tc>
          <w:tcPr>
            <w:tcW w:w="4531" w:type="dxa"/>
          </w:tcPr>
          <w:p w:rsidR="00F25438" w:rsidRPr="00C545DE" w:rsidRDefault="00F25438" w:rsidP="00F22FDD">
            <w:pPr>
              <w:rPr>
                <w:rFonts w:cs="Arial"/>
                <w:sz w:val="24"/>
                <w:szCs w:val="24"/>
                <w:lang w:val="en-US"/>
              </w:rPr>
            </w:pPr>
            <w:r w:rsidRPr="00C545DE">
              <w:rPr>
                <w:rFonts w:cs="Arial"/>
                <w:sz w:val="24"/>
                <w:szCs w:val="24"/>
                <w:lang w:val="en-US"/>
              </w:rPr>
              <w:t>Group 2:</w:t>
            </w:r>
          </w:p>
          <w:p w:rsidR="00F25438" w:rsidRPr="00C545DE" w:rsidRDefault="00F25438" w:rsidP="00F22FDD">
            <w:pPr>
              <w:rPr>
                <w:rFonts w:cs="Arial"/>
                <w:sz w:val="24"/>
                <w:szCs w:val="24"/>
                <w:lang w:val="en-US"/>
              </w:rPr>
            </w:pPr>
            <w:r w:rsidRPr="00C545DE">
              <w:rPr>
                <w:rFonts w:cs="Arial"/>
                <w:sz w:val="24"/>
                <w:szCs w:val="24"/>
                <w:lang w:val="en-US"/>
              </w:rPr>
              <w:t>Belgium, The Czech Republic, Croatia,</w:t>
            </w:r>
          </w:p>
          <w:p w:rsidR="00F25438" w:rsidRPr="00C545DE" w:rsidRDefault="00F22FDD" w:rsidP="00F22FDD">
            <w:pPr>
              <w:rPr>
                <w:rFonts w:cs="Arial"/>
                <w:sz w:val="24"/>
                <w:szCs w:val="24"/>
                <w:lang w:val="en-US"/>
              </w:rPr>
            </w:pPr>
            <w:r w:rsidRPr="00C545DE">
              <w:rPr>
                <w:rFonts w:cs="Arial"/>
                <w:sz w:val="24"/>
                <w:szCs w:val="24"/>
                <w:lang w:val="en-US"/>
              </w:rPr>
              <w:t xml:space="preserve">Cyprus, </w:t>
            </w:r>
            <w:r w:rsidR="00F25438" w:rsidRPr="00C545DE">
              <w:rPr>
                <w:rFonts w:cs="Arial"/>
                <w:sz w:val="24"/>
                <w:szCs w:val="24"/>
                <w:lang w:val="en-US"/>
              </w:rPr>
              <w:t>Greece, Spain, The Netherlands,</w:t>
            </w:r>
            <w:r w:rsidRPr="00C545DE">
              <w:rPr>
                <w:rFonts w:cs="Arial"/>
                <w:sz w:val="24"/>
                <w:szCs w:val="24"/>
                <w:lang w:val="en-US"/>
              </w:rPr>
              <w:t xml:space="preserve"> </w:t>
            </w:r>
            <w:r w:rsidR="00F25438" w:rsidRPr="00C545DE">
              <w:rPr>
                <w:rFonts w:cs="Arial"/>
                <w:sz w:val="24"/>
                <w:szCs w:val="24"/>
                <w:lang w:val="en-US"/>
              </w:rPr>
              <w:t>Luxembourg, Germany, Portugal, Slovenia, Turkey,</w:t>
            </w:r>
            <w:r w:rsidR="00F25438" w:rsidRPr="00C545DE">
              <w:rPr>
                <w:sz w:val="24"/>
                <w:szCs w:val="24"/>
                <w:lang w:val="en-US"/>
              </w:rPr>
              <w:t xml:space="preserve"> </w:t>
            </w:r>
            <w:r w:rsidR="00F25438" w:rsidRPr="00C545DE">
              <w:rPr>
                <w:rFonts w:cs="Arial"/>
                <w:sz w:val="24"/>
                <w:szCs w:val="24"/>
                <w:lang w:val="en-US"/>
              </w:rPr>
              <w:t>Iceland</w:t>
            </w:r>
          </w:p>
        </w:tc>
        <w:tc>
          <w:tcPr>
            <w:tcW w:w="4531" w:type="dxa"/>
          </w:tcPr>
          <w:p w:rsidR="00F25438" w:rsidRPr="00C545DE" w:rsidRDefault="00F25438" w:rsidP="007B0DFF">
            <w:pPr>
              <w:jc w:val="both"/>
              <w:rPr>
                <w:rFonts w:cs="Arial"/>
                <w:sz w:val="24"/>
                <w:szCs w:val="24"/>
                <w:lang w:val="en-US"/>
              </w:rPr>
            </w:pPr>
          </w:p>
          <w:p w:rsidR="00F25438" w:rsidRPr="00C545DE" w:rsidRDefault="00F25438" w:rsidP="007B0DFF">
            <w:pPr>
              <w:ind w:left="1416"/>
              <w:jc w:val="both"/>
              <w:rPr>
                <w:rFonts w:cs="Arial"/>
                <w:sz w:val="24"/>
                <w:szCs w:val="24"/>
              </w:rPr>
            </w:pPr>
            <w:r w:rsidRPr="00C545DE">
              <w:rPr>
                <w:rFonts w:cs="Arial"/>
                <w:sz w:val="24"/>
                <w:szCs w:val="24"/>
              </w:rPr>
              <w:t>400</w:t>
            </w:r>
          </w:p>
        </w:tc>
      </w:tr>
      <w:tr w:rsidR="00F25438" w:rsidRPr="00442B9C" w:rsidTr="007B0DFF">
        <w:tc>
          <w:tcPr>
            <w:tcW w:w="4531" w:type="dxa"/>
          </w:tcPr>
          <w:p w:rsidR="00F25438" w:rsidRPr="00C545DE" w:rsidRDefault="00F25438" w:rsidP="00F22FDD">
            <w:pPr>
              <w:rPr>
                <w:rFonts w:cs="Arial"/>
                <w:sz w:val="24"/>
                <w:szCs w:val="24"/>
                <w:lang w:val="en-US"/>
              </w:rPr>
            </w:pPr>
            <w:r w:rsidRPr="00C545DE">
              <w:rPr>
                <w:rFonts w:cs="Arial"/>
                <w:sz w:val="24"/>
                <w:szCs w:val="24"/>
                <w:lang w:val="en-US"/>
              </w:rPr>
              <w:t>Group 3:</w:t>
            </w:r>
          </w:p>
          <w:p w:rsidR="00F25438" w:rsidRPr="00C545DE" w:rsidRDefault="00F25438" w:rsidP="00F22FDD">
            <w:pPr>
              <w:rPr>
                <w:rFonts w:cs="Arial"/>
                <w:sz w:val="24"/>
                <w:szCs w:val="24"/>
                <w:lang w:val="en-US"/>
              </w:rPr>
            </w:pPr>
            <w:r w:rsidRPr="00C545DE">
              <w:rPr>
                <w:rFonts w:cs="Arial"/>
                <w:sz w:val="24"/>
                <w:szCs w:val="24"/>
                <w:lang w:val="en-US"/>
              </w:rPr>
              <w:t>Bulgaria, Estonia, Lithuania, Malta, Latvia,</w:t>
            </w:r>
            <w:r w:rsidR="00F22FDD" w:rsidRPr="00C545DE">
              <w:rPr>
                <w:rFonts w:cs="Arial"/>
                <w:sz w:val="24"/>
                <w:szCs w:val="24"/>
                <w:lang w:val="en-US"/>
              </w:rPr>
              <w:t xml:space="preserve"> </w:t>
            </w:r>
            <w:r w:rsidRPr="00C545DE">
              <w:rPr>
                <w:rFonts w:cs="Arial"/>
                <w:sz w:val="24"/>
                <w:szCs w:val="24"/>
                <w:lang w:val="en-US"/>
              </w:rPr>
              <w:t>Romania, Slovakia, Hungary</w:t>
            </w:r>
            <w:r w:rsidR="00B57543" w:rsidRPr="00C545DE">
              <w:rPr>
                <w:rFonts w:cs="Arial"/>
                <w:sz w:val="24"/>
                <w:szCs w:val="24"/>
                <w:lang w:val="en-US"/>
              </w:rPr>
              <w:t>,</w:t>
            </w:r>
            <w:r w:rsidR="00B57543" w:rsidRPr="00C545DE">
              <w:rPr>
                <w:sz w:val="24"/>
                <w:szCs w:val="24"/>
                <w:lang w:val="en-US"/>
              </w:rPr>
              <w:t xml:space="preserve"> </w:t>
            </w:r>
            <w:r w:rsidR="00B57543" w:rsidRPr="00C545DE">
              <w:rPr>
                <w:rFonts w:cs="Arial"/>
                <w:sz w:val="24"/>
                <w:szCs w:val="24"/>
                <w:lang w:val="en-US"/>
              </w:rPr>
              <w:t>FYROM (The former Yugoslav Republic of Macedonia)</w:t>
            </w:r>
          </w:p>
        </w:tc>
        <w:tc>
          <w:tcPr>
            <w:tcW w:w="4531" w:type="dxa"/>
          </w:tcPr>
          <w:p w:rsidR="00F25438" w:rsidRPr="00C545DE" w:rsidRDefault="00F25438" w:rsidP="007B0DFF">
            <w:pPr>
              <w:jc w:val="both"/>
              <w:rPr>
                <w:rFonts w:cs="Arial"/>
                <w:sz w:val="24"/>
                <w:szCs w:val="24"/>
                <w:lang w:val="en-US"/>
              </w:rPr>
            </w:pPr>
          </w:p>
          <w:p w:rsidR="00F25438" w:rsidRPr="00C545DE" w:rsidRDefault="00F25438" w:rsidP="007B0DFF">
            <w:pPr>
              <w:ind w:left="1416"/>
              <w:jc w:val="both"/>
              <w:rPr>
                <w:rFonts w:cs="Arial"/>
                <w:sz w:val="24"/>
                <w:szCs w:val="24"/>
              </w:rPr>
            </w:pPr>
            <w:r w:rsidRPr="00C545DE">
              <w:rPr>
                <w:rFonts w:cs="Arial"/>
                <w:sz w:val="24"/>
                <w:szCs w:val="24"/>
              </w:rPr>
              <w:t>300</w:t>
            </w:r>
          </w:p>
        </w:tc>
      </w:tr>
    </w:tbl>
    <w:p w:rsidR="00811557" w:rsidRPr="00442B9C" w:rsidRDefault="00811557" w:rsidP="00013720">
      <w:pPr>
        <w:jc w:val="both"/>
        <w:rPr>
          <w:rFonts w:ascii="Times New Roman" w:hAnsi="Times New Roman" w:cs="Times New Roman"/>
          <w:sz w:val="24"/>
          <w:szCs w:val="24"/>
          <w:lang w:val="en-US"/>
        </w:rPr>
      </w:pPr>
    </w:p>
    <w:p w:rsidR="002305F9" w:rsidRPr="00442B9C" w:rsidRDefault="00F70FC9"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3. Students with diffic</w:t>
      </w:r>
      <w:r w:rsidR="0004005D" w:rsidRPr="00442B9C">
        <w:rPr>
          <w:rFonts w:ascii="Times New Roman" w:hAnsi="Times New Roman" w:cs="Times New Roman"/>
          <w:sz w:val="24"/>
          <w:szCs w:val="24"/>
          <w:lang w:val="en-US"/>
        </w:rPr>
        <w:t>ult financial</w:t>
      </w:r>
      <w:r w:rsidR="00C27469" w:rsidRPr="00442B9C">
        <w:rPr>
          <w:rFonts w:ascii="Times New Roman" w:hAnsi="Times New Roman" w:cs="Times New Roman"/>
          <w:sz w:val="24"/>
          <w:szCs w:val="24"/>
          <w:lang w:val="en-US"/>
        </w:rPr>
        <w:t xml:space="preserve"> situation i.e. receiving</w:t>
      </w:r>
      <w:r w:rsidRPr="00442B9C">
        <w:rPr>
          <w:rFonts w:ascii="Times New Roman" w:hAnsi="Times New Roman" w:cs="Times New Roman"/>
          <w:sz w:val="24"/>
          <w:szCs w:val="24"/>
          <w:lang w:val="en-US"/>
        </w:rPr>
        <w:t xml:space="preserve"> social grant, could apply</w:t>
      </w:r>
      <w:r w:rsidR="0004005D" w:rsidRPr="00442B9C">
        <w:rPr>
          <w:rFonts w:ascii="Times New Roman" w:hAnsi="Times New Roman" w:cs="Times New Roman"/>
          <w:sz w:val="24"/>
          <w:szCs w:val="24"/>
          <w:lang w:val="en-US"/>
        </w:rPr>
        <w:t xml:space="preserve"> for extra 200 Euro per month for</w:t>
      </w:r>
      <w:r w:rsidRPr="00442B9C">
        <w:rPr>
          <w:rFonts w:ascii="Times New Roman" w:hAnsi="Times New Roman" w:cs="Times New Roman"/>
          <w:sz w:val="24"/>
          <w:szCs w:val="24"/>
          <w:lang w:val="en-US"/>
        </w:rPr>
        <w:t xml:space="preserve"> previously accepted period. This amount(839pln) + standard grant </w:t>
      </w:r>
      <w:r w:rsidR="0004005D" w:rsidRPr="00442B9C">
        <w:rPr>
          <w:rFonts w:ascii="Times New Roman" w:hAnsi="Times New Roman" w:cs="Times New Roman"/>
          <w:sz w:val="24"/>
          <w:szCs w:val="24"/>
          <w:lang w:val="en-US"/>
        </w:rPr>
        <w:t>depends on</w:t>
      </w:r>
      <w:r w:rsidRPr="00442B9C">
        <w:rPr>
          <w:rFonts w:ascii="Times New Roman" w:hAnsi="Times New Roman" w:cs="Times New Roman"/>
          <w:sz w:val="24"/>
          <w:szCs w:val="24"/>
          <w:lang w:val="en-US"/>
        </w:rPr>
        <w:t xml:space="preserve"> study period, and</w:t>
      </w:r>
      <w:r w:rsidR="0004005D" w:rsidRPr="00442B9C">
        <w:rPr>
          <w:rFonts w:ascii="Times New Roman" w:hAnsi="Times New Roman" w:cs="Times New Roman"/>
          <w:sz w:val="24"/>
          <w:szCs w:val="24"/>
          <w:lang w:val="en-US"/>
        </w:rPr>
        <w:t xml:space="preserve"> destination </w:t>
      </w:r>
      <w:r w:rsidRPr="00442B9C">
        <w:rPr>
          <w:rFonts w:ascii="Times New Roman" w:hAnsi="Times New Roman" w:cs="Times New Roman"/>
          <w:sz w:val="24"/>
          <w:szCs w:val="24"/>
          <w:lang w:val="en-US"/>
        </w:rPr>
        <w:t xml:space="preserve"> country will be disburse</w:t>
      </w:r>
      <w:r w:rsidR="0004005D" w:rsidRPr="00442B9C">
        <w:rPr>
          <w:rFonts w:ascii="Times New Roman" w:hAnsi="Times New Roman" w:cs="Times New Roman"/>
          <w:sz w:val="24"/>
          <w:szCs w:val="24"/>
          <w:lang w:val="en-US"/>
        </w:rPr>
        <w:t>d from the funds according to the</w:t>
      </w:r>
      <w:r w:rsidRPr="00442B9C">
        <w:rPr>
          <w:rFonts w:ascii="Times New Roman" w:hAnsi="Times New Roman" w:cs="Times New Roman"/>
          <w:sz w:val="24"/>
          <w:szCs w:val="24"/>
          <w:lang w:val="en-US"/>
        </w:rPr>
        <w:t xml:space="preserve"> agreement betwee</w:t>
      </w:r>
      <w:r w:rsidR="00EC1D41" w:rsidRPr="00442B9C">
        <w:rPr>
          <w:rFonts w:ascii="Times New Roman" w:hAnsi="Times New Roman" w:cs="Times New Roman"/>
          <w:sz w:val="24"/>
          <w:szCs w:val="24"/>
          <w:lang w:val="en-US"/>
        </w:rPr>
        <w:t>n National Agency and University - PO WER program budget for international student mobility in the 2015-2016 academic year.</w:t>
      </w:r>
      <w:r w:rsidR="00C6253E" w:rsidRPr="00442B9C">
        <w:rPr>
          <w:rFonts w:ascii="Times New Roman" w:hAnsi="Times New Roman" w:cs="Times New Roman"/>
          <w:sz w:val="24"/>
          <w:szCs w:val="24"/>
          <w:lang w:val="en-US"/>
        </w:rPr>
        <w:t xml:space="preserve"> Eligibility to receive particular grant entitled to the students that received social found in ti</w:t>
      </w:r>
      <w:r w:rsidR="00647107" w:rsidRPr="00442B9C">
        <w:rPr>
          <w:rFonts w:ascii="Times New Roman" w:hAnsi="Times New Roman" w:cs="Times New Roman"/>
          <w:sz w:val="24"/>
          <w:szCs w:val="24"/>
          <w:lang w:val="en-US"/>
        </w:rPr>
        <w:t xml:space="preserve">me of qualification process. </w:t>
      </w:r>
      <w:r w:rsidR="0004005D" w:rsidRPr="00442B9C">
        <w:rPr>
          <w:rFonts w:ascii="Times New Roman" w:hAnsi="Times New Roman" w:cs="Times New Roman"/>
          <w:sz w:val="24"/>
          <w:szCs w:val="24"/>
          <w:lang w:val="en-US"/>
        </w:rPr>
        <w:t>Students receiving PO WER f</w:t>
      </w:r>
      <w:r w:rsidR="00647107" w:rsidRPr="00442B9C">
        <w:rPr>
          <w:rFonts w:ascii="Times New Roman" w:hAnsi="Times New Roman" w:cs="Times New Roman"/>
          <w:sz w:val="24"/>
          <w:szCs w:val="24"/>
          <w:lang w:val="en-US"/>
        </w:rPr>
        <w:t>unds will have in “zero” grant status</w:t>
      </w:r>
      <w:r w:rsidR="0004005D" w:rsidRPr="00442B9C">
        <w:rPr>
          <w:sz w:val="24"/>
          <w:szCs w:val="24"/>
          <w:lang w:val="en-US"/>
        </w:rPr>
        <w:t xml:space="preserve"> </w:t>
      </w:r>
      <w:r w:rsidR="0004005D" w:rsidRPr="00442B9C">
        <w:rPr>
          <w:rFonts w:ascii="Times New Roman" w:hAnsi="Times New Roman" w:cs="Times New Roman"/>
          <w:sz w:val="24"/>
          <w:szCs w:val="24"/>
          <w:lang w:val="en-US"/>
        </w:rPr>
        <w:t>the Erasmus + Agreement</w:t>
      </w:r>
      <w:r w:rsidR="00647107" w:rsidRPr="00442B9C">
        <w:rPr>
          <w:rFonts w:ascii="Times New Roman" w:hAnsi="Times New Roman" w:cs="Times New Roman"/>
          <w:sz w:val="24"/>
          <w:szCs w:val="24"/>
          <w:lang w:val="en-US"/>
        </w:rPr>
        <w:t>.</w:t>
      </w:r>
    </w:p>
    <w:p w:rsidR="00647107" w:rsidRPr="00442B9C" w:rsidRDefault="00647107"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lastRenderedPageBreak/>
        <w:t>4.</w:t>
      </w:r>
      <w:r w:rsidR="009500A9" w:rsidRPr="00442B9C">
        <w:rPr>
          <w:sz w:val="24"/>
          <w:szCs w:val="24"/>
          <w:lang w:val="en-US"/>
        </w:rPr>
        <w:t xml:space="preserve"> </w:t>
      </w:r>
      <w:r w:rsidR="009500A9" w:rsidRPr="00442B9C">
        <w:rPr>
          <w:rFonts w:ascii="Times New Roman" w:hAnsi="Times New Roman" w:cs="Times New Roman"/>
          <w:sz w:val="24"/>
          <w:szCs w:val="24"/>
          <w:lang w:val="en-US"/>
        </w:rPr>
        <w:t>Students with a high level disability can apply for additional resources from a special help fund for disabled people. Detailed information about how to apply are available here: http://www.erasmusplus.org.pl/wp-content/uploads/2014/07/Zasady-niepelnosprawnosc-aktualizacja-05-12-141.pdf</w:t>
      </w:r>
    </w:p>
    <w:p w:rsidR="009500A9" w:rsidRDefault="009500A9"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5. Details will be available in separate document.</w:t>
      </w:r>
    </w:p>
    <w:p w:rsidR="00F22FDD" w:rsidRPr="00442B9C" w:rsidRDefault="00F22FDD" w:rsidP="0001372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In academic </w:t>
      </w:r>
      <w:r w:rsidR="00C545DE">
        <w:rPr>
          <w:rFonts w:ascii="Times New Roman" w:hAnsi="Times New Roman" w:cs="Times New Roman"/>
          <w:sz w:val="24"/>
          <w:szCs w:val="24"/>
          <w:lang w:val="en-US"/>
        </w:rPr>
        <w:t xml:space="preserve">year 2016/2017 </w:t>
      </w:r>
      <w:r>
        <w:rPr>
          <w:rFonts w:ascii="Times New Roman" w:hAnsi="Times New Roman" w:cs="Times New Roman"/>
          <w:sz w:val="24"/>
          <w:szCs w:val="24"/>
          <w:lang w:val="en-US"/>
        </w:rPr>
        <w:t>Medical University of Lodz</w:t>
      </w:r>
      <w:r w:rsidR="00C545DE">
        <w:rPr>
          <w:rFonts w:ascii="Times New Roman" w:hAnsi="Times New Roman" w:cs="Times New Roman"/>
          <w:sz w:val="24"/>
          <w:szCs w:val="24"/>
          <w:lang w:val="en-US"/>
        </w:rPr>
        <w:t xml:space="preserve"> will </w:t>
      </w:r>
      <w:r w:rsidR="00C545DE" w:rsidRPr="00C545DE">
        <w:rPr>
          <w:rFonts w:ascii="Times New Roman" w:hAnsi="Times New Roman" w:cs="Times New Roman"/>
          <w:sz w:val="24"/>
          <w:szCs w:val="24"/>
          <w:lang w:val="en-US"/>
        </w:rPr>
        <w:t>finance five months stay</w:t>
      </w:r>
      <w:r w:rsidR="00C545DE">
        <w:rPr>
          <w:rFonts w:ascii="Times New Roman" w:hAnsi="Times New Roman" w:cs="Times New Roman"/>
          <w:sz w:val="24"/>
          <w:szCs w:val="24"/>
          <w:lang w:val="en-US"/>
        </w:rPr>
        <w:t xml:space="preserve"> for study at the partner university. F</w:t>
      </w:r>
      <w:r w:rsidR="00B3735D">
        <w:rPr>
          <w:rFonts w:ascii="Times New Roman" w:hAnsi="Times New Roman" w:cs="Times New Roman"/>
          <w:sz w:val="24"/>
          <w:szCs w:val="24"/>
          <w:lang w:val="en-US"/>
        </w:rPr>
        <w:t xml:space="preserve">unding for longer period of </w:t>
      </w:r>
      <w:r w:rsidR="00C545DE" w:rsidRPr="00C545DE">
        <w:rPr>
          <w:rFonts w:ascii="Times New Roman" w:hAnsi="Times New Roman" w:cs="Times New Roman"/>
          <w:sz w:val="24"/>
          <w:szCs w:val="24"/>
          <w:lang w:val="en-US"/>
        </w:rPr>
        <w:t>stay</w:t>
      </w:r>
      <w:r w:rsidR="00B3735D">
        <w:rPr>
          <w:rFonts w:ascii="Times New Roman" w:hAnsi="Times New Roman" w:cs="Times New Roman"/>
          <w:sz w:val="24"/>
          <w:szCs w:val="24"/>
          <w:lang w:val="en-US"/>
        </w:rPr>
        <w:t xml:space="preserve"> </w:t>
      </w:r>
      <w:r w:rsidR="00C545DE">
        <w:rPr>
          <w:rFonts w:ascii="Times New Roman" w:hAnsi="Times New Roman" w:cs="Times New Roman"/>
          <w:sz w:val="24"/>
          <w:szCs w:val="24"/>
          <w:lang w:val="en-US"/>
        </w:rPr>
        <w:t>(more than 5 months to 9 months)</w:t>
      </w:r>
      <w:r w:rsidR="00B3735D">
        <w:rPr>
          <w:rFonts w:ascii="Times New Roman" w:hAnsi="Times New Roman" w:cs="Times New Roman"/>
          <w:sz w:val="24"/>
          <w:szCs w:val="24"/>
          <w:lang w:val="en-US"/>
        </w:rPr>
        <w:t xml:space="preserve"> depends on the extra funds proceeds from National Agency Erasmus + Programme.</w:t>
      </w:r>
    </w:p>
    <w:p w:rsidR="009500A9" w:rsidRPr="00442B9C" w:rsidRDefault="009500A9" w:rsidP="00013720">
      <w:pPr>
        <w:jc w:val="both"/>
        <w:rPr>
          <w:rFonts w:ascii="Times New Roman" w:hAnsi="Times New Roman" w:cs="Times New Roman"/>
          <w:b/>
          <w:sz w:val="24"/>
          <w:szCs w:val="24"/>
          <w:lang w:val="en-US"/>
        </w:rPr>
      </w:pPr>
      <w:r w:rsidRPr="00442B9C">
        <w:rPr>
          <w:rFonts w:ascii="Times New Roman" w:hAnsi="Times New Roman" w:cs="Times New Roman"/>
          <w:b/>
          <w:sz w:val="24"/>
          <w:szCs w:val="24"/>
          <w:lang w:val="en-US"/>
        </w:rPr>
        <w:t>III. Acceptation rules for students participating in Erasmus + mobility programme.</w:t>
      </w:r>
    </w:p>
    <w:p w:rsidR="009500A9" w:rsidRPr="00442B9C" w:rsidRDefault="009500A9"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1.</w:t>
      </w:r>
      <w:r w:rsidR="00803CBE" w:rsidRPr="00442B9C">
        <w:rPr>
          <w:sz w:val="24"/>
          <w:szCs w:val="24"/>
          <w:lang w:val="en-US"/>
        </w:rPr>
        <w:t xml:space="preserve"> </w:t>
      </w:r>
      <w:r w:rsidR="00803CBE" w:rsidRPr="00442B9C">
        <w:rPr>
          <w:rFonts w:ascii="Times New Roman" w:hAnsi="Times New Roman" w:cs="Times New Roman"/>
          <w:sz w:val="24"/>
          <w:szCs w:val="24"/>
          <w:lang w:val="en-US"/>
        </w:rPr>
        <w:t>The University commits to recognize the learning outcomes of the traineeship upon satisfactory completion of the mobility programme</w:t>
      </w:r>
      <w:r w:rsidRPr="00442B9C">
        <w:rPr>
          <w:rFonts w:ascii="Times New Roman" w:hAnsi="Times New Roman" w:cs="Times New Roman"/>
          <w:sz w:val="24"/>
          <w:szCs w:val="24"/>
          <w:lang w:val="en-US"/>
        </w:rPr>
        <w:t xml:space="preserve">. Each student leaving within the Erasmus+ Programme will receive an approved individual study programme to realize at the host university in the form of a „Learning Agreement (LA)” signed by three sides: Medical University, host university and the student. Any changes made in the Learning Agreement need to have a written form. In case of programme differences between the study programme of </w:t>
      </w:r>
      <w:r w:rsidR="00803CBE" w:rsidRPr="00442B9C">
        <w:rPr>
          <w:rFonts w:ascii="Times New Roman" w:hAnsi="Times New Roman" w:cs="Times New Roman"/>
          <w:sz w:val="24"/>
          <w:szCs w:val="24"/>
          <w:lang w:val="en-US"/>
        </w:rPr>
        <w:t xml:space="preserve">the </w:t>
      </w:r>
      <w:r w:rsidRPr="00442B9C">
        <w:rPr>
          <w:rFonts w:ascii="Times New Roman" w:hAnsi="Times New Roman" w:cs="Times New Roman"/>
          <w:sz w:val="24"/>
          <w:szCs w:val="24"/>
          <w:lang w:val="en-US"/>
        </w:rPr>
        <w:t>MUL and the one in the Learning Agreement, the university (the appropriate dean for teaching) and the student decide on a date and form of completing the programme.</w:t>
      </w:r>
    </w:p>
    <w:p w:rsidR="009500A9" w:rsidRPr="00442B9C" w:rsidRDefault="00546450"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2. Each student is required to present to the MUL (Foreign Affairs Office, pl.</w:t>
      </w:r>
      <w:r w:rsidR="00B3735D">
        <w:rPr>
          <w:rFonts w:ascii="Times New Roman" w:hAnsi="Times New Roman" w:cs="Times New Roman"/>
          <w:sz w:val="24"/>
          <w:szCs w:val="24"/>
          <w:lang w:val="en-US"/>
        </w:rPr>
        <w:t xml:space="preserve"> Hallera 1, building 1, 2</w:t>
      </w:r>
      <w:r w:rsidR="00B3735D">
        <w:rPr>
          <w:rFonts w:ascii="Times New Roman" w:hAnsi="Times New Roman" w:cs="Times New Roman"/>
          <w:sz w:val="24"/>
          <w:szCs w:val="24"/>
          <w:vertAlign w:val="superscript"/>
          <w:lang w:val="en-US"/>
        </w:rPr>
        <w:t>nd</w:t>
      </w:r>
      <w:r w:rsidRPr="00442B9C">
        <w:rPr>
          <w:rFonts w:ascii="Times New Roman" w:hAnsi="Times New Roman" w:cs="Times New Roman"/>
          <w:sz w:val="24"/>
          <w:szCs w:val="24"/>
          <w:lang w:val="en-US"/>
        </w:rPr>
        <w:t xml:space="preserve"> floor, room 225</w:t>
      </w:r>
      <w:r w:rsidR="00B3735D">
        <w:rPr>
          <w:rFonts w:ascii="Times New Roman" w:hAnsi="Times New Roman" w:cs="Times New Roman"/>
          <w:sz w:val="24"/>
          <w:szCs w:val="24"/>
          <w:lang w:val="en-US"/>
        </w:rPr>
        <w:t>/228</w:t>
      </w:r>
      <w:r w:rsidRPr="00442B9C">
        <w:rPr>
          <w:rFonts w:ascii="Times New Roman" w:hAnsi="Times New Roman" w:cs="Times New Roman"/>
          <w:sz w:val="24"/>
          <w:szCs w:val="24"/>
          <w:lang w:val="en-US"/>
        </w:rPr>
        <w:t xml:space="preserve"> and the proper dean’s office) a document received at the end of the study mobility from the host university attesting his</w:t>
      </w:r>
      <w:r w:rsidR="00803CBE" w:rsidRPr="00442B9C">
        <w:rPr>
          <w:rFonts w:ascii="Times New Roman" w:hAnsi="Times New Roman" w:cs="Times New Roman"/>
          <w:sz w:val="24"/>
          <w:szCs w:val="24"/>
          <w:lang w:val="en-US"/>
        </w:rPr>
        <w:t>/her</w:t>
      </w:r>
      <w:r w:rsidRPr="00442B9C">
        <w:rPr>
          <w:rFonts w:ascii="Times New Roman" w:hAnsi="Times New Roman" w:cs="Times New Roman"/>
          <w:sz w:val="24"/>
          <w:szCs w:val="24"/>
          <w:lang w:val="en-US"/>
        </w:rPr>
        <w:t xml:space="preserve"> stay there a</w:t>
      </w:r>
      <w:r w:rsidR="00803CBE" w:rsidRPr="00442B9C">
        <w:rPr>
          <w:rFonts w:ascii="Times New Roman" w:hAnsi="Times New Roman" w:cs="Times New Roman"/>
          <w:sz w:val="24"/>
          <w:szCs w:val="24"/>
          <w:lang w:val="en-US"/>
        </w:rPr>
        <w:t>nd the</w:t>
      </w:r>
      <w:r w:rsidRPr="00442B9C">
        <w:rPr>
          <w:rFonts w:ascii="Times New Roman" w:hAnsi="Times New Roman" w:cs="Times New Roman"/>
          <w:sz w:val="24"/>
          <w:szCs w:val="24"/>
          <w:lang w:val="en-US"/>
        </w:rPr>
        <w:t xml:space="preserve"> list of realized cou</w:t>
      </w:r>
      <w:r w:rsidR="00803CBE" w:rsidRPr="00442B9C">
        <w:rPr>
          <w:rFonts w:ascii="Times New Roman" w:hAnsi="Times New Roman" w:cs="Times New Roman"/>
          <w:sz w:val="24"/>
          <w:szCs w:val="24"/>
          <w:lang w:val="en-US"/>
        </w:rPr>
        <w:t>rses and the obtained results in</w:t>
      </w:r>
      <w:r w:rsidRPr="00442B9C">
        <w:rPr>
          <w:rFonts w:ascii="Times New Roman" w:hAnsi="Times New Roman" w:cs="Times New Roman"/>
          <w:sz w:val="24"/>
          <w:szCs w:val="24"/>
          <w:lang w:val="en-US"/>
        </w:rPr>
        <w:t xml:space="preserve"> the form of a Transcript of Record – Section to be completed AFTER THE MOBILITY from the Learning Agreement for Studies/Recognition Outcomes.</w:t>
      </w:r>
    </w:p>
    <w:p w:rsidR="002305F9" w:rsidRPr="00442B9C" w:rsidRDefault="0004005D"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3. On the basis of</w:t>
      </w:r>
      <w:r w:rsidR="00546450" w:rsidRPr="00442B9C">
        <w:rPr>
          <w:rFonts w:ascii="Times New Roman" w:hAnsi="Times New Roman" w:cs="Times New Roman"/>
          <w:sz w:val="24"/>
          <w:szCs w:val="24"/>
          <w:lang w:val="en-US"/>
        </w:rPr>
        <w:t xml:space="preserve"> the Transcript of Records (Section to be completed AFTER THE MOBILITY from the Learning Agreement for Studies/Recognition Outcomes) provided by the student</w:t>
      </w:r>
      <w:r w:rsidRPr="00442B9C">
        <w:rPr>
          <w:rFonts w:ascii="Times New Roman" w:hAnsi="Times New Roman" w:cs="Times New Roman"/>
          <w:sz w:val="24"/>
          <w:szCs w:val="24"/>
          <w:lang w:val="en-US"/>
        </w:rPr>
        <w:t>,</w:t>
      </w:r>
      <w:r w:rsidR="00546450" w:rsidRPr="00442B9C">
        <w:rPr>
          <w:rFonts w:ascii="Times New Roman" w:hAnsi="Times New Roman" w:cs="Times New Roman"/>
          <w:sz w:val="24"/>
          <w:szCs w:val="24"/>
          <w:lang w:val="en-US"/>
        </w:rPr>
        <w:t xml:space="preserve"> the Medical University (Dean or Vice-dean for Tea</w:t>
      </w:r>
      <w:r w:rsidR="00803CBE" w:rsidRPr="00442B9C">
        <w:rPr>
          <w:rFonts w:ascii="Times New Roman" w:hAnsi="Times New Roman" w:cs="Times New Roman"/>
          <w:sz w:val="24"/>
          <w:szCs w:val="24"/>
          <w:lang w:val="en-US"/>
        </w:rPr>
        <w:t>ching for the department) commits</w:t>
      </w:r>
      <w:r w:rsidR="00546450" w:rsidRPr="00442B9C">
        <w:rPr>
          <w:rFonts w:ascii="Times New Roman" w:hAnsi="Times New Roman" w:cs="Times New Roman"/>
          <w:sz w:val="24"/>
          <w:szCs w:val="24"/>
          <w:lang w:val="en-US"/>
        </w:rPr>
        <w:t xml:space="preserve"> to credit the period of study/courses/exams, as equivalent to a period of study/courses/exams at the Medical University. The university ca</w:t>
      </w:r>
      <w:r w:rsidR="00803CBE" w:rsidRPr="00442B9C">
        <w:rPr>
          <w:rFonts w:ascii="Times New Roman" w:hAnsi="Times New Roman" w:cs="Times New Roman"/>
          <w:sz w:val="24"/>
          <w:szCs w:val="24"/>
          <w:lang w:val="en-US"/>
        </w:rPr>
        <w:t>n deny crediting if the student</w:t>
      </w:r>
      <w:r w:rsidR="00546450" w:rsidRPr="00442B9C">
        <w:rPr>
          <w:rFonts w:ascii="Times New Roman" w:hAnsi="Times New Roman" w:cs="Times New Roman"/>
          <w:sz w:val="24"/>
          <w:szCs w:val="24"/>
          <w:lang w:val="en-US"/>
        </w:rPr>
        <w:t xml:space="preserve"> obtain</w:t>
      </w:r>
      <w:r w:rsidR="00803CBE" w:rsidRPr="00442B9C">
        <w:rPr>
          <w:rFonts w:ascii="Times New Roman" w:hAnsi="Times New Roman" w:cs="Times New Roman"/>
          <w:sz w:val="24"/>
          <w:szCs w:val="24"/>
          <w:lang w:val="en-US"/>
        </w:rPr>
        <w:t>s</w:t>
      </w:r>
      <w:r w:rsidR="00546450" w:rsidRPr="00442B9C">
        <w:rPr>
          <w:rFonts w:ascii="Times New Roman" w:hAnsi="Times New Roman" w:cs="Times New Roman"/>
          <w:sz w:val="24"/>
          <w:szCs w:val="24"/>
          <w:lang w:val="en-US"/>
        </w:rPr>
        <w:t xml:space="preserve"> </w:t>
      </w:r>
      <w:r w:rsidR="00803CBE" w:rsidRPr="00442B9C">
        <w:rPr>
          <w:rFonts w:ascii="Times New Roman" w:hAnsi="Times New Roman" w:cs="Times New Roman"/>
          <w:sz w:val="24"/>
          <w:szCs w:val="24"/>
          <w:lang w:val="en-US"/>
        </w:rPr>
        <w:t>dissatisfying results or does not</w:t>
      </w:r>
      <w:r w:rsidR="00546450" w:rsidRPr="00442B9C">
        <w:rPr>
          <w:rFonts w:ascii="Times New Roman" w:hAnsi="Times New Roman" w:cs="Times New Roman"/>
          <w:sz w:val="24"/>
          <w:szCs w:val="24"/>
          <w:lang w:val="en-US"/>
        </w:rPr>
        <w:t xml:space="preserve"> meet requirements agreed upon between the sides.</w:t>
      </w:r>
    </w:p>
    <w:p w:rsidR="00546450" w:rsidRPr="00442B9C" w:rsidRDefault="00600461"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4. ECTS credit or grades obtained by the student and confirmed by the Transcript of Records(Section to be completed AFTER THE MOBILITY from the Learning Agreement for Studies/Recognition Outcomes) will be, after crediting the period of study abroad, transferred to grades used by the Medical University according to the table below:</w:t>
      </w:r>
    </w:p>
    <w:tbl>
      <w:tblPr>
        <w:tblStyle w:val="Tabela-Siatka"/>
        <w:tblW w:w="0" w:type="auto"/>
        <w:tblInd w:w="1606" w:type="dxa"/>
        <w:tblLook w:val="04A0" w:firstRow="1" w:lastRow="0" w:firstColumn="1" w:lastColumn="0" w:noHBand="0" w:noVBand="1"/>
      </w:tblPr>
      <w:tblGrid>
        <w:gridCol w:w="2857"/>
        <w:gridCol w:w="2857"/>
      </w:tblGrid>
      <w:tr w:rsidR="00600461" w:rsidRPr="00442B9C" w:rsidTr="00B800FC">
        <w:trPr>
          <w:trHeight w:val="375"/>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Oceny ECTS</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Oceny Uniwersytetu Medycznego w Łodzi</w:t>
            </w:r>
          </w:p>
        </w:tc>
      </w:tr>
      <w:tr w:rsidR="00600461" w:rsidRPr="00442B9C" w:rsidTr="00B800FC">
        <w:trPr>
          <w:trHeight w:val="353"/>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A</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5,0</w:t>
            </w:r>
          </w:p>
        </w:tc>
      </w:tr>
      <w:tr w:rsidR="00600461" w:rsidRPr="00442B9C" w:rsidTr="00B800FC">
        <w:trPr>
          <w:trHeight w:val="375"/>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B</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4,5</w:t>
            </w:r>
          </w:p>
        </w:tc>
      </w:tr>
      <w:tr w:rsidR="00600461" w:rsidRPr="00442B9C" w:rsidTr="00B800FC">
        <w:trPr>
          <w:trHeight w:val="353"/>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C</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4,0</w:t>
            </w:r>
          </w:p>
        </w:tc>
      </w:tr>
      <w:tr w:rsidR="00600461" w:rsidRPr="00442B9C" w:rsidTr="00B800FC">
        <w:trPr>
          <w:trHeight w:val="375"/>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D</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3,5</w:t>
            </w:r>
          </w:p>
        </w:tc>
      </w:tr>
      <w:tr w:rsidR="00600461" w:rsidRPr="00442B9C" w:rsidTr="00B800FC">
        <w:trPr>
          <w:trHeight w:val="353"/>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E</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3</w:t>
            </w:r>
          </w:p>
        </w:tc>
      </w:tr>
      <w:tr w:rsidR="00600461" w:rsidRPr="00442B9C" w:rsidTr="00B800FC">
        <w:trPr>
          <w:trHeight w:val="375"/>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lastRenderedPageBreak/>
              <w:t>F</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2</w:t>
            </w:r>
          </w:p>
        </w:tc>
      </w:tr>
      <w:tr w:rsidR="00600461" w:rsidRPr="00442B9C" w:rsidTr="00B800FC">
        <w:trPr>
          <w:trHeight w:val="353"/>
        </w:trPr>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FX</w:t>
            </w:r>
          </w:p>
        </w:tc>
        <w:tc>
          <w:tcPr>
            <w:tcW w:w="2857" w:type="dxa"/>
          </w:tcPr>
          <w:p w:rsidR="00600461" w:rsidRPr="00442B9C" w:rsidRDefault="00600461" w:rsidP="00B800FC">
            <w:pPr>
              <w:jc w:val="center"/>
              <w:rPr>
                <w:rFonts w:ascii="Arial" w:hAnsi="Arial" w:cs="Arial"/>
                <w:sz w:val="24"/>
                <w:szCs w:val="24"/>
              </w:rPr>
            </w:pPr>
            <w:r w:rsidRPr="00442B9C">
              <w:rPr>
                <w:rFonts w:ascii="Arial" w:hAnsi="Arial" w:cs="Arial"/>
                <w:sz w:val="24"/>
                <w:szCs w:val="24"/>
              </w:rPr>
              <w:t>2</w:t>
            </w:r>
          </w:p>
        </w:tc>
      </w:tr>
    </w:tbl>
    <w:p w:rsidR="002305F9" w:rsidRPr="00442B9C" w:rsidRDefault="002305F9" w:rsidP="00013720">
      <w:pPr>
        <w:jc w:val="both"/>
        <w:rPr>
          <w:rFonts w:ascii="Times New Roman" w:hAnsi="Times New Roman" w:cs="Times New Roman"/>
          <w:sz w:val="24"/>
          <w:szCs w:val="24"/>
          <w:lang w:val="en-US"/>
        </w:rPr>
      </w:pPr>
    </w:p>
    <w:p w:rsidR="002305F9" w:rsidRPr="00442B9C" w:rsidRDefault="002305F9" w:rsidP="00013720">
      <w:pPr>
        <w:jc w:val="both"/>
        <w:rPr>
          <w:rFonts w:ascii="Times New Roman" w:hAnsi="Times New Roman" w:cs="Times New Roman"/>
          <w:sz w:val="24"/>
          <w:szCs w:val="24"/>
          <w:lang w:val="en-US"/>
        </w:rPr>
      </w:pPr>
    </w:p>
    <w:p w:rsidR="002305F9" w:rsidRPr="00442B9C" w:rsidRDefault="00600461" w:rsidP="00013720">
      <w:pPr>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5. After returning from the host university the student is obliged to fill out the questionnaire available at the National Agency’s website.</w:t>
      </w:r>
    </w:p>
    <w:p w:rsidR="00600461" w:rsidRPr="00442B9C" w:rsidRDefault="00600461" w:rsidP="00B3735D">
      <w:pPr>
        <w:spacing w:after="0"/>
        <w:jc w:val="both"/>
        <w:rPr>
          <w:rFonts w:ascii="Times New Roman" w:hAnsi="Times New Roman" w:cs="Times New Roman"/>
          <w:sz w:val="24"/>
          <w:szCs w:val="24"/>
          <w:lang w:val="en-US"/>
        </w:rPr>
      </w:pPr>
      <w:r w:rsidRPr="00442B9C">
        <w:rPr>
          <w:rFonts w:ascii="Times New Roman" w:hAnsi="Times New Roman" w:cs="Times New Roman"/>
          <w:sz w:val="24"/>
          <w:szCs w:val="24"/>
          <w:lang w:val="en-US"/>
        </w:rPr>
        <w:t>Approved:</w:t>
      </w:r>
    </w:p>
    <w:p w:rsidR="0004005D" w:rsidRPr="00442B9C" w:rsidRDefault="00600461" w:rsidP="00B3735D">
      <w:pPr>
        <w:spacing w:after="0"/>
        <w:jc w:val="both"/>
        <w:rPr>
          <w:rFonts w:ascii="Times New Roman" w:hAnsi="Times New Roman" w:cs="Times New Roman"/>
          <w:sz w:val="24"/>
          <w:szCs w:val="24"/>
        </w:rPr>
      </w:pPr>
      <w:r w:rsidRPr="00442B9C">
        <w:rPr>
          <w:rFonts w:ascii="Times New Roman" w:hAnsi="Times New Roman" w:cs="Times New Roman"/>
          <w:sz w:val="24"/>
          <w:szCs w:val="24"/>
          <w:lang w:val="en-US"/>
        </w:rPr>
        <w:t xml:space="preserve">Dr hab. n. med. </w:t>
      </w:r>
      <w:r w:rsidRPr="00442B9C">
        <w:rPr>
          <w:rFonts w:ascii="Times New Roman" w:hAnsi="Times New Roman" w:cs="Times New Roman"/>
          <w:sz w:val="24"/>
          <w:szCs w:val="24"/>
        </w:rPr>
        <w:t>Jacek Rożniecki</w:t>
      </w:r>
      <w:bookmarkStart w:id="0" w:name="_GoBack"/>
      <w:bookmarkEnd w:id="0"/>
    </w:p>
    <w:p w:rsidR="00600461" w:rsidRPr="00442B9C" w:rsidRDefault="00600461" w:rsidP="00B3735D">
      <w:pPr>
        <w:spacing w:after="0"/>
        <w:jc w:val="both"/>
        <w:rPr>
          <w:rFonts w:ascii="Times New Roman" w:hAnsi="Times New Roman" w:cs="Times New Roman"/>
          <w:sz w:val="24"/>
          <w:szCs w:val="24"/>
        </w:rPr>
      </w:pPr>
      <w:r w:rsidRPr="00442B9C">
        <w:rPr>
          <w:rFonts w:ascii="Times New Roman" w:hAnsi="Times New Roman" w:cs="Times New Roman"/>
          <w:sz w:val="24"/>
          <w:szCs w:val="24"/>
        </w:rPr>
        <w:t>Pełnomocnik  ds. Współpracy Zagranicznej</w:t>
      </w:r>
    </w:p>
    <w:p w:rsidR="002305F9" w:rsidRPr="00442B9C" w:rsidRDefault="00B3735D" w:rsidP="00B3735D">
      <w:pPr>
        <w:spacing w:after="0"/>
        <w:jc w:val="both"/>
        <w:rPr>
          <w:rFonts w:ascii="Times New Roman" w:hAnsi="Times New Roman" w:cs="Times New Roman"/>
          <w:sz w:val="24"/>
          <w:szCs w:val="24"/>
        </w:rPr>
      </w:pPr>
      <w:r>
        <w:rPr>
          <w:rFonts w:ascii="Times New Roman" w:hAnsi="Times New Roman" w:cs="Times New Roman"/>
          <w:sz w:val="24"/>
          <w:szCs w:val="24"/>
        </w:rPr>
        <w:t>ŁÓDŹ, 16.11</w:t>
      </w:r>
      <w:r w:rsidR="0004005D" w:rsidRPr="00442B9C">
        <w:rPr>
          <w:rFonts w:ascii="Times New Roman" w:hAnsi="Times New Roman" w:cs="Times New Roman"/>
          <w:sz w:val="24"/>
          <w:szCs w:val="24"/>
        </w:rPr>
        <w:t xml:space="preserve">.2015                                  </w:t>
      </w:r>
    </w:p>
    <w:p w:rsidR="002305F9" w:rsidRPr="0004005D" w:rsidRDefault="002305F9" w:rsidP="00013720">
      <w:pPr>
        <w:jc w:val="both"/>
        <w:rPr>
          <w:rFonts w:ascii="Times New Roman" w:hAnsi="Times New Roman" w:cs="Times New Roman"/>
        </w:rPr>
      </w:pPr>
    </w:p>
    <w:p w:rsidR="002305F9" w:rsidRPr="0004005D" w:rsidRDefault="002305F9" w:rsidP="00013720">
      <w:pPr>
        <w:jc w:val="both"/>
        <w:rPr>
          <w:rFonts w:ascii="Times New Roman" w:hAnsi="Times New Roman" w:cs="Times New Roman"/>
        </w:rPr>
      </w:pPr>
    </w:p>
    <w:p w:rsidR="002305F9" w:rsidRPr="0004005D" w:rsidRDefault="002305F9" w:rsidP="00013720">
      <w:pPr>
        <w:jc w:val="both"/>
        <w:rPr>
          <w:rFonts w:ascii="Times New Roman" w:hAnsi="Times New Roman" w:cs="Times New Roman"/>
        </w:rPr>
      </w:pPr>
    </w:p>
    <w:p w:rsidR="002305F9" w:rsidRPr="0004005D" w:rsidRDefault="002305F9"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600461" w:rsidRPr="0004005D" w:rsidRDefault="00600461" w:rsidP="00013720">
      <w:pPr>
        <w:jc w:val="both"/>
        <w:rPr>
          <w:rFonts w:ascii="Times New Roman" w:hAnsi="Times New Roman" w:cs="Times New Roman"/>
        </w:rPr>
      </w:pPr>
    </w:p>
    <w:p w:rsidR="009E1202" w:rsidRPr="0004005D" w:rsidRDefault="009E1202" w:rsidP="00013720">
      <w:pPr>
        <w:jc w:val="both"/>
        <w:rPr>
          <w:rFonts w:ascii="Times New Roman" w:hAnsi="Times New Roman" w:cs="Times New Roman"/>
        </w:rPr>
      </w:pPr>
    </w:p>
    <w:sectPr w:rsidR="009E1202" w:rsidRPr="000400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4F" w:rsidRDefault="008B6F4F" w:rsidP="00C27469">
      <w:pPr>
        <w:spacing w:after="0" w:line="240" w:lineRule="auto"/>
      </w:pPr>
      <w:r>
        <w:separator/>
      </w:r>
    </w:p>
  </w:endnote>
  <w:endnote w:type="continuationSeparator" w:id="0">
    <w:p w:rsidR="008B6F4F" w:rsidRDefault="008B6F4F" w:rsidP="00C2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1732"/>
      <w:docPartObj>
        <w:docPartGallery w:val="Page Numbers (Bottom of Page)"/>
        <w:docPartUnique/>
      </w:docPartObj>
    </w:sdtPr>
    <w:sdtEndPr/>
    <w:sdtContent>
      <w:p w:rsidR="00C27469" w:rsidRDefault="00C27469">
        <w:pPr>
          <w:pStyle w:val="Stopka"/>
          <w:jc w:val="center"/>
        </w:pPr>
        <w:r>
          <w:fldChar w:fldCharType="begin"/>
        </w:r>
        <w:r>
          <w:instrText>PAGE   \* MERGEFORMAT</w:instrText>
        </w:r>
        <w:r>
          <w:fldChar w:fldCharType="separate"/>
        </w:r>
        <w:r w:rsidR="00B3735D">
          <w:rPr>
            <w:noProof/>
          </w:rPr>
          <w:t>7</w:t>
        </w:r>
        <w:r>
          <w:fldChar w:fldCharType="end"/>
        </w:r>
      </w:p>
    </w:sdtContent>
  </w:sdt>
  <w:p w:rsidR="00C27469" w:rsidRDefault="00C274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4F" w:rsidRDefault="008B6F4F" w:rsidP="00C27469">
      <w:pPr>
        <w:spacing w:after="0" w:line="240" w:lineRule="auto"/>
      </w:pPr>
      <w:r>
        <w:separator/>
      </w:r>
    </w:p>
  </w:footnote>
  <w:footnote w:type="continuationSeparator" w:id="0">
    <w:p w:rsidR="008B6F4F" w:rsidRDefault="008B6F4F" w:rsidP="00C27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69" w:rsidRDefault="00C27469" w:rsidP="00C27469">
    <w:pPr>
      <w:pStyle w:val="Nagwek"/>
      <w:tabs>
        <w:tab w:val="clear" w:pos="4536"/>
        <w:tab w:val="clear" w:pos="9072"/>
        <w:tab w:val="left" w:pos="7050"/>
      </w:tabs>
    </w:pPr>
    <w:r>
      <w:rPr>
        <w:noProof/>
        <w:lang w:eastAsia="pl-PL"/>
      </w:rPr>
      <w:drawing>
        <wp:anchor distT="0" distB="0" distL="114300" distR="114300" simplePos="0" relativeHeight="251658240" behindDoc="0" locked="0" layoutInCell="1" allowOverlap="1" wp14:anchorId="31BA1DBB" wp14:editId="4C135DD5">
          <wp:simplePos x="0" y="0"/>
          <wp:positionH relativeFrom="margin">
            <wp:posOffset>3890645</wp:posOffset>
          </wp:positionH>
          <wp:positionV relativeFrom="margin">
            <wp:posOffset>-749935</wp:posOffset>
          </wp:positionV>
          <wp:extent cx="1833245" cy="3721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32"/>
        <w:lang w:eastAsia="pl-PL"/>
      </w:rPr>
      <w:drawing>
        <wp:inline distT="0" distB="0" distL="0" distR="0" wp14:anchorId="5FC954AB" wp14:editId="49C1FAAA">
          <wp:extent cx="2152650" cy="619125"/>
          <wp:effectExtent l="0" t="0" r="0" b="9525"/>
          <wp:docPr id="2" name="Obraz 2" descr="Uniwersytet Medyczny w Łodzi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Medyczny w Łodzi_mał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5B8F"/>
    <w:multiLevelType w:val="hybridMultilevel"/>
    <w:tmpl w:val="6BA8ADF2"/>
    <w:lvl w:ilvl="0" w:tplc="18F845F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1F2E609A"/>
    <w:multiLevelType w:val="hybridMultilevel"/>
    <w:tmpl w:val="8DAEF8A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450B0046"/>
    <w:multiLevelType w:val="hybridMultilevel"/>
    <w:tmpl w:val="5B44C12E"/>
    <w:lvl w:ilvl="0" w:tplc="18F845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703EB2"/>
    <w:multiLevelType w:val="hybridMultilevel"/>
    <w:tmpl w:val="EAB828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48967886"/>
    <w:multiLevelType w:val="hybridMultilevel"/>
    <w:tmpl w:val="77707230"/>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4CEE0621"/>
    <w:multiLevelType w:val="hybridMultilevel"/>
    <w:tmpl w:val="B44C5C4E"/>
    <w:lvl w:ilvl="0" w:tplc="18F845F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nsid w:val="52537D4A"/>
    <w:multiLevelType w:val="hybridMultilevel"/>
    <w:tmpl w:val="B57279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5BD12046"/>
    <w:multiLevelType w:val="hybridMultilevel"/>
    <w:tmpl w:val="C62AD86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5F114CCF"/>
    <w:multiLevelType w:val="hybridMultilevel"/>
    <w:tmpl w:val="C0FA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7"/>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EB"/>
    <w:rsid w:val="00013720"/>
    <w:rsid w:val="0004005D"/>
    <w:rsid w:val="000B05F0"/>
    <w:rsid w:val="000F5BCD"/>
    <w:rsid w:val="00160207"/>
    <w:rsid w:val="00183A33"/>
    <w:rsid w:val="00210F59"/>
    <w:rsid w:val="002305F9"/>
    <w:rsid w:val="0025477B"/>
    <w:rsid w:val="00320AED"/>
    <w:rsid w:val="00333EC7"/>
    <w:rsid w:val="00395234"/>
    <w:rsid w:val="003C3E1F"/>
    <w:rsid w:val="00442B9C"/>
    <w:rsid w:val="004B3FD8"/>
    <w:rsid w:val="00522B13"/>
    <w:rsid w:val="00546450"/>
    <w:rsid w:val="005F1563"/>
    <w:rsid w:val="00600461"/>
    <w:rsid w:val="00647107"/>
    <w:rsid w:val="00655903"/>
    <w:rsid w:val="00696889"/>
    <w:rsid w:val="007257AC"/>
    <w:rsid w:val="00736AAF"/>
    <w:rsid w:val="00780CEB"/>
    <w:rsid w:val="0079545C"/>
    <w:rsid w:val="007B6860"/>
    <w:rsid w:val="007C35FC"/>
    <w:rsid w:val="00803CBE"/>
    <w:rsid w:val="00811557"/>
    <w:rsid w:val="00820EF2"/>
    <w:rsid w:val="00851D01"/>
    <w:rsid w:val="008608F6"/>
    <w:rsid w:val="008B6F4F"/>
    <w:rsid w:val="008C42A3"/>
    <w:rsid w:val="00910E92"/>
    <w:rsid w:val="009176FB"/>
    <w:rsid w:val="009500A9"/>
    <w:rsid w:val="00983DC2"/>
    <w:rsid w:val="009B2BAC"/>
    <w:rsid w:val="009C2872"/>
    <w:rsid w:val="009E1202"/>
    <w:rsid w:val="00A17712"/>
    <w:rsid w:val="00AA5311"/>
    <w:rsid w:val="00AC4A2C"/>
    <w:rsid w:val="00B25770"/>
    <w:rsid w:val="00B356A1"/>
    <w:rsid w:val="00B3735D"/>
    <w:rsid w:val="00B41D1C"/>
    <w:rsid w:val="00B57543"/>
    <w:rsid w:val="00B7219A"/>
    <w:rsid w:val="00C27469"/>
    <w:rsid w:val="00C545DE"/>
    <w:rsid w:val="00C6253E"/>
    <w:rsid w:val="00C830BF"/>
    <w:rsid w:val="00CE281C"/>
    <w:rsid w:val="00D117AD"/>
    <w:rsid w:val="00D21E58"/>
    <w:rsid w:val="00D52AF0"/>
    <w:rsid w:val="00D74494"/>
    <w:rsid w:val="00D816C2"/>
    <w:rsid w:val="00DE52D0"/>
    <w:rsid w:val="00E96B34"/>
    <w:rsid w:val="00EB6013"/>
    <w:rsid w:val="00EC1D41"/>
    <w:rsid w:val="00F22FDD"/>
    <w:rsid w:val="00F25438"/>
    <w:rsid w:val="00F46BFE"/>
    <w:rsid w:val="00F70FC9"/>
    <w:rsid w:val="00FC5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BAF9E5-933E-4971-BD82-8A83FED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5F0"/>
    <w:pPr>
      <w:ind w:left="720"/>
      <w:contextualSpacing/>
    </w:pPr>
  </w:style>
  <w:style w:type="table" w:styleId="Tabela-Siatka">
    <w:name w:val="Table Grid"/>
    <w:basedOn w:val="Standardowy"/>
    <w:uiPriority w:val="39"/>
    <w:rsid w:val="00F2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500A9"/>
    <w:rPr>
      <w:color w:val="0563C1" w:themeColor="hyperlink"/>
      <w:u w:val="single"/>
    </w:rPr>
  </w:style>
  <w:style w:type="paragraph" w:styleId="Nagwek">
    <w:name w:val="header"/>
    <w:basedOn w:val="Normalny"/>
    <w:link w:val="NagwekZnak"/>
    <w:uiPriority w:val="99"/>
    <w:unhideWhenUsed/>
    <w:rsid w:val="00C274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7469"/>
  </w:style>
  <w:style w:type="paragraph" w:styleId="Stopka">
    <w:name w:val="footer"/>
    <w:basedOn w:val="Normalny"/>
    <w:link w:val="StopkaZnak"/>
    <w:uiPriority w:val="99"/>
    <w:unhideWhenUsed/>
    <w:rsid w:val="00C274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14892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Dorota Leśnikowska</cp:lastModifiedBy>
  <cp:revision>2</cp:revision>
  <dcterms:created xsi:type="dcterms:W3CDTF">2016-01-05T14:51:00Z</dcterms:created>
  <dcterms:modified xsi:type="dcterms:W3CDTF">2016-01-05T14:51:00Z</dcterms:modified>
</cp:coreProperties>
</file>